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Date of Report (Date of earliest event reported):</w:t>
      </w:r>
      <w:r>
        <w:rPr>
          <w:color w:val="000000"/>
        </w:rPr>
        <w:t xml:space="preserve"> </w:t>
      </w:r>
      <w:r>
        <w:rPr>
          <w:rFonts w:ascii="Times New Roman;serif" w:hAnsi="Times New Roman;serif"/>
          <w:b/>
          <w:color w:val="000000"/>
          <w:sz w:val="18"/>
        </w:rPr>
        <w:t>August 6,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BENTLEY SYSTEMS, INCORPORATED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7707" w:type="dxa"/>
        <w:jc w:val="center"/>
        <w:tblInd w:w="0" w:type="dxa"/>
        <w:tblLayout w:type="fixed"/>
        <w:tblCellMar>
          <w:top w:w="28" w:type="dxa"/>
          <w:left w:w="28" w:type="dxa"/>
          <w:bottom w:w="28" w:type="dxa"/>
          <w:right w:w="28" w:type="dxa"/>
        </w:tblCellMar>
      </w:tblPr>
      <w:tblGrid>
        <w:gridCol w:w="1148"/>
        <w:gridCol w:w="1011"/>
        <w:gridCol w:w="1020"/>
        <w:gridCol w:w="662"/>
        <w:gridCol w:w="662"/>
        <w:gridCol w:w="670"/>
        <w:gridCol w:w="738"/>
        <w:gridCol w:w="738"/>
        <w:gridCol w:w="1058"/>
      </w:tblGrid>
      <w:tr>
        <w:trPr/>
        <w:tc>
          <w:tcPr>
            <w:tcW w:w="11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001-39548</w:t>
            </w:r>
          </w:p>
        </w:tc>
        <w:tc>
          <w:tcPr>
            <w:tcW w:w="253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95-3936623</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685 Stockton Drive</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Exton, Pennsylvania</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19341</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8"/>
        </w:rPr>
        <w:t>(610) 458-5000</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6"/>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p>
      <w:pPr>
        <w:pStyle w:val="TextBody"/>
        <w:bidi w:val="0"/>
        <w:spacing w:before="0" w:after="0"/>
        <w:jc w:val="left"/>
        <w:rPr/>
      </w:pPr>
      <w:r>
        <w:rPr/>
      </w:r>
    </w:p>
    <w:tbl>
      <w:tblPr>
        <w:tblW w:w="8317" w:type="dxa"/>
        <w:jc w:val="center"/>
        <w:tblInd w:w="0" w:type="dxa"/>
        <w:tblLayout w:type="fixed"/>
        <w:tblCellMar>
          <w:top w:w="28" w:type="dxa"/>
          <w:left w:w="28" w:type="dxa"/>
          <w:bottom w:w="28" w:type="dxa"/>
          <w:right w:w="28" w:type="dxa"/>
        </w:tblCellMar>
      </w:tblPr>
      <w:tblGrid>
        <w:gridCol w:w="1112"/>
        <w:gridCol w:w="975"/>
        <w:gridCol w:w="988"/>
        <w:gridCol w:w="109"/>
        <w:gridCol w:w="109"/>
        <w:gridCol w:w="109"/>
        <w:gridCol w:w="424"/>
        <w:gridCol w:w="424"/>
        <w:gridCol w:w="426"/>
        <w:gridCol w:w="109"/>
        <w:gridCol w:w="109"/>
        <w:gridCol w:w="109"/>
        <w:gridCol w:w="970"/>
        <w:gridCol w:w="970"/>
        <w:gridCol w:w="1374"/>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16"/>
        </w:rPr>
        <w:t xml:space="preserve">Emerging growth company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6, 2026, Bentley Systems, Incorporated (the “Company”) issued a press release announcing its financial results for the three and six months ended June 30, 2026. A copy of the release is furnished as Exhibit 99.1 and incorporated by reference herein. Exhibit 99.2 sets forth the reasons the Company believes that presentation of the non-GAAP financial measures contained in the press release provides useful information to investors regarding the Company’s results of operations and financial condition. To the extent material, Exhibit 99.2 also discloses the additional purposes, if any, for which the Company’s management uses these non-GAAP financial measures. Reconciliations of these non-GAAP financial measures to their most directly comparable GAAP financial measures are included in the press release itself.</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of this Current Report on Form 8-K, including Exhibit 99.1 and Exhibit 99.2, is being furnished and shall not be deemed “filed” for the purposes of Section 18 of the Securities Exchange Act of 1934, as amended (the “Exchange Act”) or otherwise subject to the liabilities of that section, nor shall such information be deemed incorporated by reference in any filing under the Exchange Act or the Securities Act of 1933, as amended, regardless of the general incorporation language of such filing, except as shall be expressly set forth by specific reference in such filing.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 Exhibits.</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a26q2exhibit991.htm">
              <w:r>
                <w:rPr>
                  <w:rStyle w:val="InternetLink"/>
                  <w:rFonts w:ascii="Times New Roman;serif" w:hAnsi="Times New Roman;serif"/>
                  <w:b w:val="false"/>
                  <w:color w:val="0000FF"/>
                  <w:sz w:val="20"/>
                  <w:u w:val="single"/>
                </w:rPr>
                <w:t>Press release dated August 6,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6q2exhibit992.htm">
              <w:r>
                <w:rPr>
                  <w:rStyle w:val="InternetLink"/>
                  <w:rFonts w:ascii="Times New Roman;serif" w:hAnsi="Times New Roman;serif"/>
                  <w:b w:val="false"/>
                  <w:color w:val="0000FF"/>
                  <w:sz w:val="20"/>
                  <w:u w:val="single"/>
                </w:rPr>
                <w:t>Explanation of Non-GAAP and Other Financial Measures</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404"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408"/>
        <w:gridCol w:w="408"/>
        <w:gridCol w:w="408"/>
        <w:gridCol w:w="585"/>
        <w:gridCol w:w="585"/>
        <w:gridCol w:w="83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6"/>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Bentley Systems, Incorporated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6" w:before="0" w:after="40"/>
              <w:jc w:val="left"/>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40"/>
              <w:jc w:val="left"/>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Inter;sans-serif" w:hAnsi="Inter;sans-serif"/>
          <w:b/>
          <w:color w:val="000000"/>
          <w:sz w:val="20"/>
          <w:shd w:fill="FFFFFF" w:val="clear"/>
        </w:rPr>
      </w:pPr>
      <w:r>
        <w:rPr>
          <w:rFonts w:ascii="Inter;sans-serif" w:hAnsi="Inter;sans-serif"/>
          <w:b/>
          <w:color w:val="000000"/>
          <w:sz w:val="20"/>
          <w:shd w:fill="FFFFFF" w:val="clear"/>
        </w:rPr>
        <w:t>Exhibit 99.1</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drawing>
          <wp:inline distT="0" distB="0" distL="0" distR="0">
            <wp:extent cx="1371600" cy="4095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71600" cy="4095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400"/>
        <w:jc w:val="center"/>
        <w:rPr>
          <w:rFonts w:ascii="Inter;sans-serif" w:hAnsi="Inter;sans-serif"/>
          <w:b/>
          <w:color w:val="000000"/>
          <w:sz w:val="28"/>
        </w:rPr>
      </w:pPr>
      <w:r>
        <w:rPr>
          <w:rFonts w:ascii="Inter;sans-serif" w:hAnsi="Inter;sans-serif"/>
          <w:b/>
          <w:color w:val="000000"/>
          <w:sz w:val="28"/>
        </w:rPr>
        <w:t>Bentley Systems Announces Second Quarter 2026 Results</w:t>
      </w:r>
    </w:p>
    <w:p>
      <w:pPr>
        <w:pStyle w:val="TextBody"/>
        <w:bidi w:val="0"/>
        <w:spacing w:lineRule="auto" w:line="288" w:before="0" w:after="0"/>
        <w:jc w:val="left"/>
        <w:rPr/>
      </w:pPr>
      <w:r>
        <w:rPr>
          <w:rFonts w:ascii="Inter;sans-serif" w:hAnsi="Inter;sans-serif"/>
          <w:b/>
          <w:color w:val="000000"/>
          <w:sz w:val="20"/>
        </w:rPr>
        <w:t xml:space="preserve">EXTON, PA – August 6, 2026 – </w:t>
      </w:r>
      <w:r>
        <w:rPr>
          <w:rFonts w:ascii="Inter;sans-serif" w:hAnsi="Inter;sans-serif"/>
          <w:b w:val="false"/>
          <w:color w:val="0E32E1"/>
          <w:sz w:val="20"/>
          <w:u w:val="single"/>
        </w:rPr>
        <w:t>Bentley Systems, Incorporated</w:t>
      </w:r>
      <w:r>
        <w:rPr>
          <w:color w:val="000000"/>
        </w:rPr>
        <w:t xml:space="preserve"> </w:t>
      </w:r>
      <w:r>
        <w:rPr>
          <w:rFonts w:ascii="Inter;sans-serif" w:hAnsi="Inter;sans-serif"/>
          <w:b w:val="false"/>
          <w:color w:val="000000"/>
          <w:sz w:val="20"/>
        </w:rPr>
        <w:t>(Nasdaq: BSY), the infrastructure engineering software company, today announced results for the quarter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Inter;sans-serif" w:hAnsi="Inter;sans-serif"/>
          <w:b/>
          <w:color w:val="000000"/>
          <w:sz w:val="20"/>
        </w:rPr>
      </w:pPr>
      <w:r>
        <w:rPr>
          <w:rFonts w:ascii="Inter;sans-serif" w:hAnsi="Inter;sans-serif"/>
          <w:b/>
          <w:color w:val="000000"/>
          <w:sz w:val="20"/>
        </w:rPr>
        <w:t>Second Quarter 2026 Results</w:t>
      </w:r>
    </w:p>
    <w:p>
      <w:pPr>
        <w:pStyle w:val="TextBody"/>
        <w:bidi w:val="0"/>
        <w:spacing w:before="0" w:after="0"/>
        <w:jc w:val="both"/>
        <w:rPr/>
      </w:pPr>
      <w:r>
        <w:rPr/>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Total revenues</w:t>
      </w:r>
      <w:r>
        <w:rPr>
          <w:color w:val="000000"/>
        </w:rPr>
        <w:t xml:space="preserve"> </w:t>
      </w:r>
      <w:r>
        <w:rPr>
          <w:rFonts w:ascii="Inter;sans-serif" w:hAnsi="Inter;sans-serif"/>
          <w:b w:val="false"/>
          <w:color w:val="000000"/>
          <w:sz w:val="20"/>
        </w:rPr>
        <w:t>were $410.7 million, up 12.8% or 12.2% on a constant currency basis, year-over-year;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Subscriptions revenues</w:t>
      </w:r>
      <w:r>
        <w:rPr>
          <w:color w:val="000000"/>
        </w:rPr>
        <w:t xml:space="preserve"> </w:t>
      </w:r>
      <w:r>
        <w:rPr>
          <w:rFonts w:ascii="Inter;sans-serif" w:hAnsi="Inter;sans-serif"/>
          <w:b w:val="false"/>
          <w:color w:val="000000"/>
          <w:sz w:val="20"/>
        </w:rPr>
        <w:t>were $378.6 million, up 13.6% or 13.0% on a constant currency basis, year-over-year;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Annualized Recurring Revenues (“ARR”)</w:t>
      </w:r>
      <w:r>
        <w:rPr>
          <w:color w:val="000000"/>
        </w:rPr>
        <w:t xml:space="preserve"> </w:t>
      </w:r>
      <w:r>
        <w:rPr>
          <w:rFonts w:ascii="Inter;sans-serif" w:hAnsi="Inter;sans-serif"/>
          <w:b w:val="false"/>
          <w:color w:val="000000"/>
          <w:sz w:val="20"/>
        </w:rPr>
        <w:t xml:space="preserve">were $1,536.0 million as of June 30, 2026, compared to $1,379.2 million as of June 30, 2025. </w:t>
      </w:r>
      <w:r>
        <w:rPr>
          <w:rFonts w:ascii="Inter;sans-serif" w:hAnsi="Inter;sans-serif"/>
          <w:b w:val="false"/>
          <w:i/>
          <w:color w:val="000000"/>
          <w:sz w:val="20"/>
        </w:rPr>
        <w:t>Constant currency ARR growth rate</w:t>
      </w:r>
      <w:r>
        <w:rPr>
          <w:color w:val="000000"/>
        </w:rPr>
        <w:t xml:space="preserve"> </w:t>
      </w:r>
      <w:r>
        <w:rPr>
          <w:rFonts w:ascii="Inter;sans-serif" w:hAnsi="Inter;sans-serif"/>
          <w:b w:val="false"/>
          <w:color w:val="000000"/>
          <w:sz w:val="20"/>
        </w:rPr>
        <w:t>was 12%;</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Last twelve-month recurring revenues dollar-based net retention rate</w:t>
      </w:r>
      <w:r>
        <w:rPr>
          <w:color w:val="000000"/>
        </w:rPr>
        <w:t xml:space="preserve"> </w:t>
      </w:r>
      <w:r>
        <w:rPr>
          <w:rFonts w:ascii="Inter;sans-serif" w:hAnsi="Inter;sans-serif"/>
          <w:b w:val="false"/>
          <w:color w:val="000000"/>
          <w:sz w:val="20"/>
        </w:rPr>
        <w:t>was 109%, consistent with the same period last 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Operating income margin</w:t>
      </w:r>
      <w:r>
        <w:rPr>
          <w:color w:val="000000"/>
        </w:rPr>
        <w:t xml:space="preserve"> </w:t>
      </w:r>
      <w:r>
        <w:rPr>
          <w:rFonts w:ascii="Inter;sans-serif" w:hAnsi="Inter;sans-serif"/>
          <w:b w:val="false"/>
          <w:color w:val="000000"/>
          <w:sz w:val="20"/>
        </w:rPr>
        <w:t>was 21.6%, compared to 23.2% for the same period last 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Adjusted operating income less operating stock-based compensation expense (“AOI less Operating SBC”) margin</w:t>
      </w:r>
      <w:r>
        <w:rPr>
          <w:color w:val="000000"/>
        </w:rPr>
        <w:t xml:space="preserve"> </w:t>
      </w:r>
      <w:r>
        <w:rPr>
          <w:rFonts w:ascii="Inter;sans-serif" w:hAnsi="Inter;sans-serif"/>
          <w:b w:val="false"/>
          <w:color w:val="000000"/>
          <w:sz w:val="20"/>
        </w:rPr>
        <w:t>was 28.3%, compared to 29.3% for the same period last 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Net income per diluted share</w:t>
      </w:r>
      <w:r>
        <w:rPr>
          <w:color w:val="000000"/>
        </w:rPr>
        <w:t xml:space="preserve"> </w:t>
      </w:r>
      <w:r>
        <w:rPr>
          <w:rFonts w:ascii="Inter;sans-serif" w:hAnsi="Inter;sans-serif"/>
          <w:b w:val="false"/>
          <w:color w:val="000000"/>
          <w:sz w:val="20"/>
        </w:rPr>
        <w:t>was $0.25, compared to $0.22 for the same period last 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Adjusted net income per diluted share</w:t>
      </w:r>
      <w:r>
        <w:rPr>
          <w:color w:val="000000"/>
        </w:rPr>
        <w:t xml:space="preserve"> </w:t>
      </w:r>
      <w:r>
        <w:rPr>
          <w:rFonts w:ascii="Inter;sans-serif" w:hAnsi="Inter;sans-serif"/>
          <w:b w:val="false"/>
          <w:color w:val="000000"/>
          <w:sz w:val="20"/>
        </w:rPr>
        <w:t>(“</w:t>
      </w:r>
      <w:r>
        <w:rPr>
          <w:rFonts w:ascii="Inter;sans-serif" w:hAnsi="Inter;sans-serif"/>
          <w:b w:val="false"/>
          <w:i/>
          <w:color w:val="000000"/>
          <w:sz w:val="20"/>
        </w:rPr>
        <w:t>Adjusted EPS</w:t>
      </w:r>
      <w:r>
        <w:rPr>
          <w:color w:val="000000"/>
        </w:rPr>
        <w:t>”</w:t>
      </w:r>
      <w:r>
        <w:rPr>
          <w:rFonts w:ascii="Inter;sans-serif" w:hAnsi="Inter;sans-serif"/>
          <w:b w:val="false"/>
          <w:color w:val="000000"/>
          <w:sz w:val="20"/>
        </w:rPr>
        <w:t>) was $0.35, compared to $0.32 for the same period last 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Cash flows from operating activities</w:t>
      </w:r>
      <w:r>
        <w:rPr>
          <w:color w:val="000000"/>
        </w:rPr>
        <w:t xml:space="preserve"> </w:t>
      </w:r>
      <w:r>
        <w:rPr>
          <w:rFonts w:ascii="Inter;sans-serif" w:hAnsi="Inter;sans-serif"/>
          <w:b w:val="false"/>
          <w:color w:val="000000"/>
          <w:sz w:val="20"/>
        </w:rPr>
        <w:t>were $71.5 million, compared to $61.1 million for the same period last year; and</w:t>
      </w:r>
    </w:p>
    <w:p>
      <w:pPr>
        <w:pStyle w:val="TextBody"/>
        <w:bidi w:val="0"/>
        <w:spacing w:lineRule="auto" w:line="288" w:before="0" w:after="0"/>
        <w:ind w:left="0" w:right="0" w:hanging="360"/>
        <w:jc w:val="left"/>
        <w:rPr/>
      </w:pPr>
      <w:r>
        <w:rPr>
          <w:color w:val="000000"/>
        </w:rPr>
        <w:t>•</w:t>
      </w:r>
      <w:r>
        <w:rPr>
          <w:rFonts w:ascii="Inter;sans-serif" w:hAnsi="Inter;sans-serif"/>
          <w:b w:val="false"/>
          <w:i/>
          <w:color w:val="000000"/>
          <w:sz w:val="20"/>
        </w:rPr>
        <w:t>Free cash flow</w:t>
      </w:r>
      <w:r>
        <w:rPr>
          <w:color w:val="000000"/>
        </w:rPr>
        <w:t xml:space="preserve"> </w:t>
      </w:r>
      <w:r>
        <w:rPr>
          <w:rFonts w:ascii="Inter;sans-serif" w:hAnsi="Inter;sans-serif"/>
          <w:b w:val="false"/>
          <w:color w:val="000000"/>
          <w:sz w:val="20"/>
        </w:rPr>
        <w:t>was $63.8 million, compared to $57.0 million for the same period last year.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Inter;sans-serif" w:hAnsi="Inter;sans-serif"/>
          <w:b/>
          <w:color w:val="000000"/>
          <w:sz w:val="20"/>
        </w:rPr>
      </w:pPr>
      <w:r>
        <w:rPr>
          <w:rFonts w:ascii="Inter;sans-serif" w:hAnsi="Inter;sans-serif"/>
          <w:b/>
          <w:color w:val="000000"/>
          <w:sz w:val="20"/>
        </w:rPr>
        <w:t>Six Months Ended June 30, 2026 Results</w:t>
      </w:r>
    </w:p>
    <w:p>
      <w:pPr>
        <w:pStyle w:val="TextBody"/>
        <w:bidi w:val="0"/>
        <w:spacing w:before="0" w:after="0"/>
        <w:jc w:val="both"/>
        <w:rPr/>
      </w:pPr>
      <w:r>
        <w:rPr/>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Total revenues</w:t>
      </w:r>
      <w:r>
        <w:rPr>
          <w:color w:val="000000"/>
        </w:rPr>
        <w:t xml:space="preserve"> </w:t>
      </w:r>
      <w:r>
        <w:rPr>
          <w:rFonts w:ascii="Inter;sans-serif" w:hAnsi="Inter;sans-serif"/>
          <w:b w:val="false"/>
          <w:color w:val="000000"/>
          <w:sz w:val="20"/>
        </w:rPr>
        <w:t>were $834.9 million, up 13.6% or 12.1% on a constant currency basis, year-over-year;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Subscriptions revenues</w:t>
      </w:r>
      <w:r>
        <w:rPr>
          <w:color w:val="000000"/>
        </w:rPr>
        <w:t xml:space="preserve"> </w:t>
      </w:r>
      <w:r>
        <w:rPr>
          <w:rFonts w:ascii="Inter;sans-serif" w:hAnsi="Inter;sans-serif"/>
          <w:b w:val="false"/>
          <w:color w:val="000000"/>
          <w:sz w:val="20"/>
        </w:rPr>
        <w:t>were $771.1 million, up 14.1% or 12.6% on a constant currency basis, year-over-year;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Operating income margin</w:t>
      </w:r>
      <w:r>
        <w:rPr>
          <w:color w:val="000000"/>
        </w:rPr>
        <w:t xml:space="preserve"> </w:t>
      </w:r>
      <w:r>
        <w:rPr>
          <w:rFonts w:ascii="Inter;sans-serif" w:hAnsi="Inter;sans-serif"/>
          <w:b w:val="false"/>
          <w:color w:val="000000"/>
          <w:sz w:val="20"/>
        </w:rPr>
        <w:t>was 25.7%, compared to 27.2% for the same period last 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AOI less Operating SBC</w:t>
      </w:r>
      <w:r>
        <w:rPr>
          <w:color w:val="000000"/>
        </w:rPr>
        <w:t xml:space="preserve"> </w:t>
      </w:r>
      <w:r>
        <w:rPr>
          <w:rFonts w:ascii="Inter;sans-serif" w:hAnsi="Inter;sans-serif"/>
          <w:b w:val="false"/>
          <w:i/>
          <w:color w:val="000000"/>
          <w:sz w:val="20"/>
        </w:rPr>
        <w:t>margin</w:t>
      </w:r>
      <w:r>
        <w:rPr>
          <w:color w:val="000000"/>
        </w:rPr>
        <w:t xml:space="preserve"> </w:t>
      </w:r>
      <w:r>
        <w:rPr>
          <w:rFonts w:ascii="Inter;sans-serif" w:hAnsi="Inter;sans-serif"/>
          <w:b w:val="false"/>
          <w:color w:val="000000"/>
          <w:sz w:val="20"/>
        </w:rPr>
        <w:t>was 30.8%, compared to 32.0% for the same period last 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Net income per diluted share</w:t>
      </w:r>
      <w:r>
        <w:rPr>
          <w:color w:val="000000"/>
        </w:rPr>
        <w:t xml:space="preserve"> </w:t>
      </w:r>
      <w:r>
        <w:rPr>
          <w:rFonts w:ascii="Inter;sans-serif" w:hAnsi="Inter;sans-serif"/>
          <w:b w:val="false"/>
          <w:color w:val="000000"/>
          <w:sz w:val="20"/>
        </w:rPr>
        <w:t>was $0.55, compared to $0.50 for the same period last 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Adjusted EPS</w:t>
      </w:r>
      <w:r>
        <w:rPr>
          <w:color w:val="000000"/>
        </w:rPr>
        <w:t xml:space="preserve"> </w:t>
      </w:r>
      <w:r>
        <w:rPr>
          <w:rFonts w:ascii="Inter;sans-serif" w:hAnsi="Inter;sans-serif"/>
          <w:b w:val="false"/>
          <w:color w:val="000000"/>
          <w:sz w:val="20"/>
        </w:rPr>
        <w:t>was $0.73, compared to $0.67 for the same period last year;</w:t>
      </w:r>
    </w:p>
    <w:p>
      <w:pPr>
        <w:pStyle w:val="TextBody"/>
        <w:bidi w:val="0"/>
        <w:spacing w:lineRule="auto" w:line="288" w:before="0" w:after="200"/>
        <w:ind w:left="0" w:right="0" w:hanging="360"/>
        <w:jc w:val="left"/>
        <w:rPr/>
      </w:pPr>
      <w:r>
        <w:rPr>
          <w:color w:val="000000"/>
        </w:rPr>
        <w:t>•</w:t>
      </w:r>
      <w:r>
        <w:rPr>
          <w:rFonts w:ascii="Inter;sans-serif" w:hAnsi="Inter;sans-serif"/>
          <w:b w:val="false"/>
          <w:i/>
          <w:color w:val="000000"/>
          <w:sz w:val="20"/>
        </w:rPr>
        <w:t>Cash flows from operating activities</w:t>
      </w:r>
      <w:r>
        <w:rPr>
          <w:color w:val="000000"/>
        </w:rPr>
        <w:t xml:space="preserve"> </w:t>
      </w:r>
      <w:r>
        <w:rPr>
          <w:rFonts w:ascii="Inter;sans-serif" w:hAnsi="Inter;sans-serif"/>
          <w:b w:val="false"/>
          <w:color w:val="000000"/>
          <w:sz w:val="20"/>
        </w:rPr>
        <w:t>were $264.9 million, compared to $280.5 million for the same period last year; and</w:t>
      </w:r>
    </w:p>
    <w:p>
      <w:pPr>
        <w:pStyle w:val="TextBody"/>
        <w:bidi w:val="0"/>
        <w:spacing w:lineRule="auto" w:line="288" w:before="0" w:after="0"/>
        <w:ind w:left="0" w:right="0" w:hanging="360"/>
        <w:jc w:val="left"/>
        <w:rPr/>
      </w:pPr>
      <w:r>
        <w:rPr>
          <w:color w:val="000000"/>
        </w:rPr>
        <w:t>•</w:t>
      </w:r>
      <w:r>
        <w:rPr>
          <w:rFonts w:ascii="Inter;sans-serif" w:hAnsi="Inter;sans-serif"/>
          <w:b w:val="false"/>
          <w:i/>
          <w:color w:val="000000"/>
          <w:sz w:val="20"/>
        </w:rPr>
        <w:t>Free cash flow</w:t>
      </w:r>
      <w:r>
        <w:rPr>
          <w:color w:val="000000"/>
        </w:rPr>
        <w:t xml:space="preserve"> </w:t>
      </w:r>
      <w:r>
        <w:rPr>
          <w:rFonts w:ascii="Inter;sans-serif" w:hAnsi="Inter;sans-serif"/>
          <w:b w:val="false"/>
          <w:color w:val="000000"/>
          <w:sz w:val="20"/>
        </w:rPr>
        <w:t>was $251.7 million, compared to $273.4 million for the same period last year.</w:t>
      </w:r>
    </w:p>
    <w:p>
      <w:pPr>
        <w:pStyle w:val="TextBody"/>
        <w:bidi w:val="0"/>
        <w:spacing w:before="1"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Executive Chair Greg Bentley said, “BSY’s hallmark growth dependability, positively exemplified by the quarters of 2026, underscores the boundless prioritization of investment within the world’s owner-operators of physical infrastructure— and our company’s ingrained zeal for hybrid innovation, led foreseeably by successive multi-faceted integration of AI. These factors underlie my confidence in the durability of superior financial returns for holders of BSY shares, characterized by our sustained momentum in growth of ARR, profitability, and most fundamentally, free cash flow (appropriately burdened by operating stock-based compensation).”</w:t>
      </w:r>
    </w:p>
    <w:p>
      <w:pPr>
        <w:pStyle w:val="TextBody"/>
        <w:bidi w:val="0"/>
        <w:spacing w:before="0" w:after="0"/>
        <w:jc w:val="left"/>
        <w:rPr/>
      </w:pPr>
      <w:r>
        <w:rPr/>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CEO Nicholas Cumins said, “We had another strong quarter, reflecting disciplined execution by our team and continued strength in the end markets we serve. Growth was led once again by the Resources sector, followed by Public Works / Utilities, including from the electric grid.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Inter;sans-serif" w:hAnsi="Inter;sans-serif"/>
          <w:b w:val="false"/>
          <w:color w:val="000000"/>
          <w:sz w:val="20"/>
        </w:rPr>
        <w:t>We are also making meaningful progress with Infrastructure AI. We are instrumenting more of our engineering applications so that users can combine our trusted, deterministic engines for modeling, analysis, and simulation with the reasoning capabilities of their preferred AI assistants. The feedback from accounts has been encouraging: as they better understand what becomes possible, they are beginning to apply these capabilities on live projects, creating value that we intend to monetize in due course.”</w:t>
      </w:r>
    </w:p>
    <w:p>
      <w:pPr>
        <w:pStyle w:val="TextBody"/>
        <w:bidi w:val="0"/>
        <w:spacing w:before="0" w:after="0"/>
        <w:jc w:val="left"/>
        <w:rPr/>
      </w:pPr>
      <w:r>
        <w:rPr/>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CFO Werner Andre said, “Our second-quarter results reflect consistent high performance across our key financial metrics, positioning us favorably within our full-year financial outlook. We delivered constant-currency ARR growth of 12% and constant-currency subscriptions revenue growth of 13%, with free cash flow having grown 15% on a last-twelve-months basis and profitability in line with our expectations. During the second quarter, we went live with our new enterprise-wide finance and quote-to-cash platforms, the costs of which we absorbed within our margin commitment while laying the foundation for future efficiency and scale.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Inter;sans-serif" w:hAnsi="Inter;sans-serif"/>
          <w:b w:val="false"/>
          <w:color w:val="000000"/>
          <w:sz w:val="20"/>
        </w:rPr>
        <w:t>Our disciplined approach to capital allocation is evidenced by quarter-end net debt leverage of 1.9 times and ample credit capacity, notwithstanding a meaningful increase in share repurchases during the first half. Together with our reliable cash generation, and in anticipation of our mid-2027 convertible notes maturity, we maintain the flexibility to fund programmatic acquisitions and to return capital to shareholders through dividends and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Inter;sans-serif" w:hAnsi="Inter;sans-serif"/>
          <w:b/>
          <w:color w:val="000000"/>
          <w:sz w:val="20"/>
        </w:rPr>
      </w:pPr>
      <w:r>
        <w:rPr>
          <w:rFonts w:ascii="Inter;sans-serif" w:hAnsi="Inter;sans-serif"/>
          <w:b/>
          <w:color w:val="000000"/>
          <w:sz w:val="20"/>
        </w:rPr>
        <w:t>Call Details</w:t>
      </w:r>
    </w:p>
    <w:p>
      <w:pPr>
        <w:pStyle w:val="TextBody"/>
        <w:bidi w:val="0"/>
        <w:spacing w:before="0" w:after="0"/>
        <w:jc w:val="left"/>
        <w:rPr/>
      </w:pPr>
      <w:r>
        <w:rPr/>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Bentley Systems will host a live Zoom video webinar on August 6, 2026 at 8:15 a.m. Eastern time to discuss results for its second quarter ended June 30, 2026.</w:t>
      </w:r>
    </w:p>
    <w:p>
      <w:pPr>
        <w:pStyle w:val="TextBody"/>
        <w:bidi w:val="0"/>
        <w:spacing w:before="0" w:after="0"/>
        <w:jc w:val="left"/>
        <w:rPr/>
      </w:pPr>
      <w:r>
        <w:rPr/>
      </w:r>
    </w:p>
    <w:p>
      <w:pPr>
        <w:pStyle w:val="TextBody"/>
        <w:bidi w:val="0"/>
        <w:spacing w:lineRule="auto" w:line="288" w:before="0" w:after="0"/>
        <w:jc w:val="left"/>
        <w:rPr/>
      </w:pPr>
      <w:r>
        <w:rPr>
          <w:rFonts w:ascii="Inter;sans-serif" w:hAnsi="Inter;sans-serif"/>
          <w:b w:val="false"/>
          <w:color w:val="000000"/>
          <w:sz w:val="20"/>
        </w:rPr>
        <w:t xml:space="preserve">Those wishing to participate should access the live Zoom video webinar of the event through a direct registration link at </w:t>
      </w:r>
      <w:r>
        <w:rPr>
          <w:rFonts w:ascii="Inter;sans-serif" w:hAnsi="Inter;sans-serif"/>
          <w:b w:val="false"/>
          <w:color w:val="0E32E1"/>
          <w:sz w:val="20"/>
          <w:u w:val="single"/>
        </w:rPr>
        <w:t>https://bentley-com.zoom.us/webinar/register/WN_lTFMd_YZRQeRdNKzyJQQvw#/registration</w:t>
      </w:r>
      <w:r>
        <w:rPr>
          <w:rFonts w:ascii="Inter;sans-serif" w:hAnsi="Inter;sans-serif"/>
          <w:b w:val="false"/>
          <w:color w:val="000000"/>
          <w:sz w:val="20"/>
        </w:rPr>
        <w:t xml:space="preserve">. Alternatively, the event can be accessed from the Events &amp; Presentations page on Bentley Systems’ Investor Relations website at </w:t>
      </w:r>
      <w:r>
        <w:rPr>
          <w:rFonts w:ascii="Inter;sans-serif" w:hAnsi="Inter;sans-serif"/>
          <w:b w:val="false"/>
          <w:color w:val="0E32E1"/>
          <w:sz w:val="20"/>
          <w:u w:val="single"/>
        </w:rPr>
        <w:t>https://investors.bentley.com</w:t>
      </w:r>
      <w:r>
        <w:rPr>
          <w:rFonts w:ascii="Inter;sans-serif" w:hAnsi="Inter;sans-serif"/>
          <w:b w:val="false"/>
          <w:color w:val="000000"/>
          <w:sz w:val="20"/>
        </w:rPr>
        <w:t>. In addition, a replay and transcript will be available after the conclusion of the live event on Bentley Systems’ Investor Relations website for one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Inter;sans-serif" w:hAnsi="Inter;sans-serif"/>
          <w:b/>
          <w:color w:val="000000"/>
          <w:sz w:val="20"/>
        </w:rPr>
      </w:pPr>
      <w:r>
        <w:rPr>
          <w:rFonts w:ascii="Inter;sans-serif" w:hAnsi="Inter;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In this press release, we sometimes refer to financial measures that are not presented in accordance with U.S. generally accepted accounting principles (“GAAP”). Certain of these measures are considered non</w:t>
        <w:noBreakHyphen/>
        <w:t>GAAP financial measures under the United States Securities and Exchange Commission (“SEC”) regulations. Those rules require the supplemental explanations and reconciliations that are in Bentley Systems’ Form 8</w:t>
        <w:noBreakHyphen/>
        <w:t>K (Quarterly Earnings Release) furnished to the SEC.</w:t>
      </w:r>
    </w:p>
    <w:p>
      <w:pPr>
        <w:pStyle w:val="TextBody"/>
        <w:bidi w:val="0"/>
        <w:spacing w:before="0" w:after="0"/>
        <w:jc w:val="left"/>
        <w:rPr/>
      </w:pPr>
      <w:r>
        <w:rPr/>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We use AOI less Operating SBC as our primary performance measure because we believe it better reflects our core operating results by excluding items that are not indicative of the ordinary operation of our business, including costs arising directly from our acquisition activity and the costs of discrete realignment initiatives. Consistent with that objective, we refined the measure during 2026: beginning in the first quarter of 2026, we expanded our acquisition expenses adjustment to include cash- and equity</w:t>
        <w:noBreakHyphen/>
        <w:t>settled retention incentives provided to key employees of acquired companies, and renamed the measure from Adjusted operating income less stock-based compensation expense (“AOI less SBC”) to “AOI less Operating SBC”; and beginning in the second quarter of 2026, applying the same principle, we began adjusting for integration costs incurred to integrate acquired businesses into our operations. We continue to adjust for discrete realignment initiatives, and we do not adjust for severance or organizational and workforce changes undertaken in the ordinary course of managing our business, which remain reflected in AOI less Operating SBC. Prior period amounts have been revised to conform to the current definition; no integration costs were incurred in periods prior to the second quarter of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Inter;sans-serif" w:hAnsi="Inter;sans-serif"/>
          <w:b/>
          <w:color w:val="000000"/>
          <w:sz w:val="20"/>
        </w:rPr>
      </w:pPr>
      <w:r>
        <w:rPr>
          <w:rFonts w:ascii="Inter;sans-serif" w:hAnsi="Inter;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This press release includes forward-looking statements regarding the future results of operations and financial condition, business strategy, and plans and objectives for future operations of Bentley Systems, Incorporated (the “Company,” “we,” “us,” and words of similar import). All such statements contained in this press release, other than statements of historical facts, are forward-looking statements. The words “believe,” “may,” “will,” “estimate,” “continue,” “anticipate,” “intend,” “expect,” and similar expressions are intended to identify forward-looking statements. We have based these forward-looking statements largely on our current expectations, projections, and assumptions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and there are a significant number of factors that could cause actual results to differ materially from statements made in this press release including: adverse changes in global economic and/or political conditions; the impact of tariffs and related policies on our business and the businesses of the industries we serve; the impact of current and future sanctions, embargoes and other similar laws at the state and/or federal level that impose restrictions on our counterparties or upon our ability to operate our business within the subject jurisdictions; political, economic, regulatory and public health and safety risks and uncertainties in the countries and regions in which we operate; failure to retain personnel necessary for the operation of our business or those that we acquire; failure to effectively manage succession; changes in the industries in which our accounts operate; the competitive environment in which we operate; the quality of our products; our ability to develop and market new products to address our accounts’ rapidly changing technological needs; changes in capital markets and our ability to access financing on terms satisfactory to us or at all; the impact of changing or uncertain interest rates on us and on the industries we serve; our ability to integrate acquired businesses successfully; and our ability to identify and consummate future investments and/or acquisitions on terms satisfactory to us or at all.</w:t>
      </w:r>
    </w:p>
    <w:p>
      <w:pPr>
        <w:pStyle w:val="TextBody"/>
        <w:bidi w:val="0"/>
        <w:spacing w:before="0" w:after="0"/>
        <w:jc w:val="left"/>
        <w:rPr/>
      </w:pPr>
      <w:r>
        <w:rPr/>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Further information on potential factors that could affect the financial results of the Company are included in the Company’s Form 10</w:t>
        <w:noBreakHyphen/>
        <w:t>K and subsequent Form 10</w:t>
        <w:noBreakHyphen/>
        <w:t>Qs, which are on file with the SEC. The Company disclaims any obligation to update the forward-looking statements provided to reflect events that occur or circumstances that exist after the date on which they were made.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Inter;sans-serif" w:hAnsi="Inter;sans-serif"/>
          <w:b/>
          <w:color w:val="000000"/>
          <w:sz w:val="20"/>
        </w:rPr>
      </w:pPr>
      <w:r>
        <w:rPr>
          <w:rFonts w:ascii="Inter;sans-serif" w:hAnsi="Inter;sans-serif"/>
          <w:b/>
          <w:color w:val="000000"/>
          <w:sz w:val="20"/>
        </w:rPr>
        <w:t>About Bentley Systems</w:t>
      </w:r>
    </w:p>
    <w:p>
      <w:pPr>
        <w:pStyle w:val="TextBody"/>
        <w:bidi w:val="0"/>
        <w:spacing w:before="0" w:after="0"/>
        <w:jc w:val="left"/>
        <w:rPr/>
      </w:pPr>
      <w:r>
        <w:rPr/>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Around the world, infrastructure professionals rely on software from Bentley Systems to help them design, build, and operate better and more resilient infrastructure for transportation, water, energy, cities, and more. Founded in 1984 by engineers for engineers, Bentley is the partner of choice for engineering firms and owner-operators worldwide, with software that spans engineering disciplines, industry sectors, and all phases of the infrastructure lifecycle. Through our digital twin solutions, we help infrastructure professionals unlock the value of their data to transform project delivery and asset performance.</w:t>
      </w:r>
    </w:p>
    <w:p>
      <w:pPr>
        <w:pStyle w:val="TextBody"/>
        <w:bidi w:val="0"/>
        <w:spacing w:before="0" w:after="0"/>
        <w:jc w:val="left"/>
        <w:rPr/>
      </w:pPr>
      <w:r>
        <w:rPr/>
      </w:r>
    </w:p>
    <w:p>
      <w:pPr>
        <w:pStyle w:val="TextBody"/>
        <w:bidi w:val="0"/>
        <w:spacing w:lineRule="auto" w:line="288" w:before="0" w:after="0"/>
        <w:jc w:val="left"/>
        <w:rPr/>
      </w:pPr>
      <w:r>
        <w:rPr>
          <w:rFonts w:ascii="Inter;sans-serif" w:hAnsi="Inter;sans-serif"/>
          <w:b w:val="false"/>
          <w:i/>
          <w:color w:val="000000"/>
          <w:sz w:val="16"/>
        </w:rPr>
        <w:t xml:space="preserve">© </w:t>
      </w:r>
      <w:r>
        <w:rPr>
          <w:rFonts w:ascii="Inter;sans-serif" w:hAnsi="Inter;sans-serif"/>
          <w:b w:val="false"/>
          <w:color w:val="000000"/>
          <w:sz w:val="16"/>
        </w:rPr>
        <w:t>2026</w:t>
      </w:r>
      <w:r>
        <w:rPr>
          <w:color w:val="000000"/>
        </w:rPr>
        <w:t xml:space="preserve"> </w:t>
      </w:r>
      <w:r>
        <w:rPr>
          <w:rFonts w:ascii="Inter;sans-serif" w:hAnsi="Inter;sans-serif"/>
          <w:b w:val="false"/>
          <w:i/>
          <w:color w:val="000000"/>
          <w:sz w:val="16"/>
        </w:rPr>
        <w:t>Bentley Systems, Incorporated. Bentley and the Bentley logo are either registered or unregistered trademarks or service marks of Bentley Systems, Incorporated or one of its direct or indirect wholly owned subsidiaries. All other brands and product names are trademarks of their respective owners.</w:t>
      </w:r>
    </w:p>
    <w:p>
      <w:pPr>
        <w:pStyle w:val="TextBody"/>
        <w:bidi w:val="0"/>
        <w:spacing w:before="0" w:after="0"/>
        <w:jc w:val="left"/>
        <w:rPr/>
      </w:pPr>
      <w:r>
        <w:rPr/>
      </w:r>
    </w:p>
    <w:p>
      <w:pPr>
        <w:pStyle w:val="TextBody"/>
        <w:bidi w:val="0"/>
        <w:spacing w:lineRule="auto" w:line="288" w:before="0" w:after="0"/>
        <w:jc w:val="left"/>
        <w:rPr>
          <w:rFonts w:ascii="Inter;sans-serif" w:hAnsi="Inter;sans-serif"/>
          <w:b/>
          <w:color w:val="000000"/>
          <w:sz w:val="20"/>
        </w:rPr>
      </w:pPr>
      <w:r>
        <w:rPr>
          <w:rFonts w:ascii="Inter;sans-serif" w:hAnsi="Inter;sans-serif"/>
          <w:b/>
          <w:color w:val="000000"/>
          <w:sz w:val="20"/>
        </w:rPr>
        <w:t>For more information, contact:</w:t>
      </w:r>
    </w:p>
    <w:p>
      <w:pPr>
        <w:pStyle w:val="TextBody"/>
        <w:bidi w:val="0"/>
        <w:spacing w:lineRule="auto" w:line="288" w:before="0" w:after="0"/>
        <w:jc w:val="left"/>
        <w:rPr/>
      </w:pPr>
      <w:r>
        <w:rPr>
          <w:rFonts w:ascii="Inter;sans-serif" w:hAnsi="Inter;sans-serif"/>
          <w:b w:val="false"/>
          <w:color w:val="000000"/>
          <w:sz w:val="20"/>
        </w:rPr>
        <w:t xml:space="preserve">Investors: Eric Boyer, </w:t>
      </w:r>
      <w:r>
        <w:rPr>
          <w:rFonts w:ascii="Inter;sans-serif" w:hAnsi="Inter;sans-serif"/>
          <w:b w:val="false"/>
          <w:color w:val="0E32E1"/>
          <w:sz w:val="20"/>
          <w:u w:val="single"/>
        </w:rPr>
        <w:t>IR@bentley.com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Inter;sans-serif" w:hAnsi="Inter;sans-serif"/>
          <w:b/>
          <w:color w:val="000000"/>
          <w:sz w:val="20"/>
        </w:rPr>
      </w:pPr>
      <w:r>
        <w:rPr>
          <w:rFonts w:ascii="Inter;sans-serif" w:hAnsi="Inter;sans-serif"/>
          <w:b/>
          <w:color w:val="000000"/>
          <w:sz w:val="20"/>
        </w:rPr>
        <w:t>BENTLEY SYSTEMS, INCORPORATED</w:t>
      </w:r>
    </w:p>
    <w:p>
      <w:pPr>
        <w:pStyle w:val="TextBody"/>
        <w:bidi w:val="0"/>
        <w:spacing w:lineRule="auto" w:line="288" w:before="0" w:after="0"/>
        <w:jc w:val="center"/>
        <w:rPr>
          <w:rFonts w:ascii="Inter;sans-serif" w:hAnsi="Inter;sans-serif"/>
          <w:b/>
          <w:color w:val="000000"/>
          <w:sz w:val="20"/>
        </w:rPr>
      </w:pPr>
      <w:r>
        <w:rPr>
          <w:rFonts w:ascii="Inter;sans-serif" w:hAnsi="Inter;sans-serif"/>
          <w:b/>
          <w:color w:val="000000"/>
          <w:sz w:val="20"/>
        </w:rPr>
        <w:t>Consolidated Balance Sheets</w:t>
      </w:r>
    </w:p>
    <w:p>
      <w:pPr>
        <w:pStyle w:val="TextBody"/>
        <w:bidi w:val="0"/>
        <w:spacing w:lineRule="auto" w:line="288" w:before="0" w:after="0"/>
        <w:jc w:val="center"/>
        <w:rPr>
          <w:rFonts w:ascii="Inter;sans-serif" w:hAnsi="Inter;sans-serif"/>
          <w:b/>
          <w:color w:val="000000"/>
          <w:sz w:val="18"/>
        </w:rPr>
      </w:pPr>
      <w:r>
        <w:rPr>
          <w:rFonts w:ascii="Inter;sans-serif" w:hAnsi="Inter;sans-serif"/>
          <w:b/>
          <w:color w:val="000000"/>
          <w:sz w:val="18"/>
        </w:rPr>
        <w:t>(in thousands)</w:t>
      </w:r>
    </w:p>
    <w:p>
      <w:pPr>
        <w:pStyle w:val="TextBody"/>
        <w:bidi w:val="0"/>
        <w:spacing w:lineRule="auto" w:line="288" w:before="0" w:after="0"/>
        <w:jc w:val="center"/>
        <w:rPr>
          <w:rFonts w:ascii="Inter;sans-serif" w:hAnsi="Inter;sans-serif"/>
          <w:b/>
          <w:color w:val="000000"/>
          <w:sz w:val="18"/>
        </w:rPr>
      </w:pPr>
      <w:r>
        <w:rPr>
          <w:rFonts w:ascii="Inter;sans-serif" w:hAnsi="Inter;sans-serif"/>
          <w:b/>
          <w:color w:val="000000"/>
          <w:sz w:val="18"/>
        </w:rPr>
        <w:t>(unaudited)</w:t>
      </w:r>
    </w:p>
    <w:p>
      <w:pPr>
        <w:pStyle w:val="TextBody"/>
        <w:bidi w:val="0"/>
        <w:spacing w:before="0" w:after="0"/>
        <w:jc w:val="center"/>
        <w:rPr/>
      </w:pPr>
      <w:r>
        <w:rPr/>
      </w:r>
    </w:p>
    <w:tbl>
      <w:tblPr>
        <w:tblW w:w="8085" w:type="dxa"/>
        <w:jc w:val="center"/>
        <w:tblInd w:w="0" w:type="dxa"/>
        <w:tblLayout w:type="fixed"/>
        <w:tblCellMar>
          <w:top w:w="28" w:type="dxa"/>
          <w:left w:w="28" w:type="dxa"/>
          <w:bottom w:w="28" w:type="dxa"/>
          <w:right w:w="28" w:type="dxa"/>
        </w:tblCellMar>
      </w:tblPr>
      <w:tblGrid>
        <w:gridCol w:w="1447"/>
        <w:gridCol w:w="1269"/>
        <w:gridCol w:w="1289"/>
        <w:gridCol w:w="109"/>
        <w:gridCol w:w="109"/>
        <w:gridCol w:w="109"/>
        <w:gridCol w:w="226"/>
        <w:gridCol w:w="1126"/>
        <w:gridCol w:w="109"/>
        <w:gridCol w:w="109"/>
        <w:gridCol w:w="109"/>
        <w:gridCol w:w="109"/>
        <w:gridCol w:w="295"/>
        <w:gridCol w:w="1469"/>
        <w:gridCol w:w="201"/>
      </w:tblGrid>
      <w:tr>
        <w:trPr/>
        <w:tc>
          <w:tcPr>
            <w:tcW w:w="144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December 31, 2025</w:t>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2292" w:type="dxa"/>
            <w:gridSpan w:val="6"/>
            <w:tcBorders/>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color w:val="000000"/>
                <w:sz w:val="18"/>
              </w:rPr>
            </w:pPr>
            <w:r>
              <w:rPr>
                <w:rFonts w:ascii="Inter;sans-serif" w:hAnsi="Inter;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146,981 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123,278 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368,136 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350,299 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(7,609)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25,115 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19,805 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53,260 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587,891 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539,033 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36,031 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31,141 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168,956 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193,018 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2,469,001 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2,482,154 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27,920 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153,710 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170,368 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75,502 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3,582,904 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3,555,167 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color w:val="000000"/>
                <w:sz w:val="18"/>
              </w:rPr>
            </w:pPr>
            <w:r>
              <w:rPr>
                <w:rFonts w:ascii="Inter;sans-serif" w:hAnsi="Inter;sans-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26,952 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182,034 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173,255 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Cloud Services Subscription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496,322 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463,312 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263,154 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278,244 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13,669 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4,778 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988,139 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960,210 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1,210,305 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1,248,912 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Deferred compensation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112,736 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106,831 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22,150 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18,410 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4,368 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4,794 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2,380,878 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2,365,675 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3,024 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1,348,863 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1,301,205 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(86,393)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(74,558)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(63,446)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(40,258)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Total Bentley Systems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1,202,042 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1,189,413 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1,202,026 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1,189,492 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3,582,904 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3,555,167 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Inter;sans-serif" w:hAnsi="Inter;sans-serif"/>
          <w:b/>
          <w:color w:val="000000"/>
          <w:sz w:val="20"/>
        </w:rPr>
      </w:pPr>
      <w:r>
        <w:rPr>
          <w:rFonts w:ascii="Inter;sans-serif" w:hAnsi="Inter;sans-serif"/>
          <w:b/>
          <w:color w:val="000000"/>
          <w:sz w:val="20"/>
        </w:rPr>
        <w:t>BENTLEY SYSTEMS, INCORPORATED</w:t>
      </w:r>
    </w:p>
    <w:p>
      <w:pPr>
        <w:pStyle w:val="TextBody"/>
        <w:bidi w:val="0"/>
        <w:spacing w:lineRule="auto" w:line="288" w:before="0" w:after="0"/>
        <w:jc w:val="center"/>
        <w:rPr>
          <w:rFonts w:ascii="Inter;sans-serif" w:hAnsi="Inter;sans-serif"/>
          <w:b/>
          <w:color w:val="000000"/>
          <w:sz w:val="20"/>
        </w:rPr>
      </w:pPr>
      <w:r>
        <w:rPr>
          <w:rFonts w:ascii="Inter;sans-serif" w:hAnsi="Inter;sans-serif"/>
          <w:b/>
          <w:color w:val="000000"/>
          <w:sz w:val="20"/>
        </w:rPr>
        <w:t>Consolidated Statements of Operations</w:t>
      </w:r>
    </w:p>
    <w:p>
      <w:pPr>
        <w:pStyle w:val="TextBody"/>
        <w:bidi w:val="0"/>
        <w:spacing w:lineRule="auto" w:line="288" w:before="0" w:after="0"/>
        <w:jc w:val="center"/>
        <w:rPr>
          <w:rFonts w:ascii="Inter;sans-serif" w:hAnsi="Inter;sans-serif"/>
          <w:b/>
          <w:color w:val="000000"/>
          <w:sz w:val="18"/>
        </w:rPr>
      </w:pPr>
      <w:r>
        <w:rPr>
          <w:rFonts w:ascii="Inter;sans-serif" w:hAnsi="Inter;sans-serif"/>
          <w:b/>
          <w:color w:val="000000"/>
          <w:sz w:val="18"/>
        </w:rPr>
        <w:t>(in thousands, except share and per share data)</w:t>
      </w:r>
    </w:p>
    <w:p>
      <w:pPr>
        <w:pStyle w:val="TextBody"/>
        <w:bidi w:val="0"/>
        <w:spacing w:lineRule="auto" w:line="288" w:before="0" w:after="0"/>
        <w:jc w:val="center"/>
        <w:rPr>
          <w:rFonts w:ascii="Inter;sans-serif" w:hAnsi="Inter;sans-serif"/>
          <w:b/>
          <w:color w:val="000000"/>
          <w:sz w:val="18"/>
        </w:rPr>
      </w:pPr>
      <w:r>
        <w:rPr>
          <w:rFonts w:ascii="Inter;sans-serif" w:hAnsi="Inter;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01"/>
        <w:gridCol w:w="921"/>
        <w:gridCol w:w="928"/>
        <w:gridCol w:w="109"/>
        <w:gridCol w:w="109"/>
        <w:gridCol w:w="109"/>
        <w:gridCol w:w="263"/>
        <w:gridCol w:w="1103"/>
        <w:gridCol w:w="109"/>
        <w:gridCol w:w="109"/>
        <w:gridCol w:w="109"/>
        <w:gridCol w:w="109"/>
        <w:gridCol w:w="263"/>
        <w:gridCol w:w="1103"/>
        <w:gridCol w:w="109"/>
        <w:gridCol w:w="109"/>
        <w:gridCol w:w="109"/>
        <w:gridCol w:w="109"/>
        <w:gridCol w:w="263"/>
        <w:gridCol w:w="1103"/>
        <w:gridCol w:w="109"/>
        <w:gridCol w:w="109"/>
        <w:gridCol w:w="109"/>
        <w:gridCol w:w="109"/>
        <w:gridCol w:w="263"/>
        <w:gridCol w:w="1103"/>
        <w:gridCol w:w="156"/>
      </w:tblGrid>
      <w:tr>
        <w:trPr/>
        <w:tc>
          <w:tcPr>
            <w:tcW w:w="110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Six Months Ended</w:t>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June 30,</w:t>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2025</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333,452 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771,119 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675,770 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20,985 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388,342 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343,645 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789,883 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696,755 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410,727 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364,106 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834,908 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734,648 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107,125 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94,256 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40,179 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73,987 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68,776 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147,761 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134,435 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336,740 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295,330 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687,147 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600,213 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165,096 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147,835 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156,142 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132,932 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97,085 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16,409 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248,132 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210,900 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472,279 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400,599 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214,868 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199,614 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(17,303)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(7,327)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16,061 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(1,147)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95,069 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79,315 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213,626 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191,140 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(16,609)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(39,764)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(29,364)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Inter;sans-serif" w:hAnsi="Inter;sans-serif"/>
                <w:b w:val="false"/>
                <w:color w:val="000000"/>
                <w:sz w:val="18"/>
              </w:rPr>
            </w:pPr>
            <w:r>
              <w:rPr>
                <w:rFonts w:ascii="Inter;sans-serif" w:hAnsi="Inter;sans-serif"/>
                <w:b w:val="false"/>
                <w:color w:val="000000"/>
                <w:sz w:val="18"/>
              </w:rPr>
              <w:t>Equity in net income of investees,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173,864 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161,838 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Net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78,573 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70,482 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173,959 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161,850 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Inter;sans-serif" w:hAnsi="Inter;sans-serif"/>
                <w:b w:val="false"/>
                <w:color w:val="000000"/>
                <w:sz w:val="18"/>
              </w:rPr>
            </w:pPr>
            <w:r>
              <w:rPr>
                <w:rFonts w:ascii="Inter;sans-serif" w:hAnsi="Inter;sans-serif"/>
                <w:b w:val="false"/>
                <w:color w:val="000000"/>
                <w:sz w:val="18"/>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0.25 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0.22 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0.55 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11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0.50 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311,784,740 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314,622,491 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312,227,764 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314,894,050 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318,957,692 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332,824,020 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320,435,795 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333,150,282 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Inter;sans-serif" w:hAnsi="Inter;sans-serif"/>
          <w:b/>
          <w:color w:val="000000"/>
          <w:sz w:val="20"/>
        </w:rPr>
      </w:pPr>
      <w:r>
        <w:rPr>
          <w:rFonts w:ascii="Inter;sans-serif" w:hAnsi="Inter;sans-serif"/>
          <w:b/>
          <w:color w:val="000000"/>
          <w:sz w:val="20"/>
        </w:rPr>
        <w:t>BENTLEY SYSTEMS, INCORPORATED</w:t>
      </w:r>
    </w:p>
    <w:p>
      <w:pPr>
        <w:pStyle w:val="TextBody"/>
        <w:bidi w:val="0"/>
        <w:spacing w:lineRule="auto" w:line="288" w:before="0" w:after="0"/>
        <w:jc w:val="center"/>
        <w:rPr>
          <w:rFonts w:ascii="Inter;sans-serif" w:hAnsi="Inter;sans-serif"/>
          <w:b/>
          <w:color w:val="000000"/>
          <w:sz w:val="20"/>
        </w:rPr>
      </w:pPr>
      <w:r>
        <w:rPr>
          <w:rFonts w:ascii="Inter;sans-serif" w:hAnsi="Inter;sans-serif"/>
          <w:b/>
          <w:color w:val="000000"/>
          <w:sz w:val="20"/>
        </w:rPr>
        <w:t>Consolidated Statements of Cash Flows</w:t>
      </w:r>
    </w:p>
    <w:p>
      <w:pPr>
        <w:pStyle w:val="TextBody"/>
        <w:bidi w:val="0"/>
        <w:spacing w:lineRule="auto" w:line="288" w:before="0" w:after="0"/>
        <w:jc w:val="center"/>
        <w:rPr>
          <w:rFonts w:ascii="Inter;sans-serif" w:hAnsi="Inter;sans-serif"/>
          <w:b/>
          <w:color w:val="000000"/>
          <w:sz w:val="18"/>
        </w:rPr>
      </w:pPr>
      <w:r>
        <w:rPr>
          <w:rFonts w:ascii="Inter;sans-serif" w:hAnsi="Inter;sans-serif"/>
          <w:b/>
          <w:color w:val="000000"/>
          <w:sz w:val="18"/>
        </w:rPr>
        <w:t>(in thousands)</w:t>
      </w:r>
    </w:p>
    <w:p>
      <w:pPr>
        <w:pStyle w:val="TextBody"/>
        <w:bidi w:val="0"/>
        <w:spacing w:lineRule="auto" w:line="288" w:before="0" w:after="0"/>
        <w:jc w:val="center"/>
        <w:rPr>
          <w:rFonts w:ascii="Inter;sans-serif" w:hAnsi="Inter;sans-serif"/>
          <w:b/>
          <w:color w:val="000000"/>
          <w:sz w:val="18"/>
        </w:rPr>
      </w:pPr>
      <w:r>
        <w:rPr>
          <w:rFonts w:ascii="Inter;sans-serif" w:hAnsi="Inter;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50"/>
        <w:gridCol w:w="2190"/>
        <w:gridCol w:w="2203"/>
        <w:gridCol w:w="109"/>
        <w:gridCol w:w="109"/>
        <w:gridCol w:w="109"/>
        <w:gridCol w:w="226"/>
        <w:gridCol w:w="946"/>
        <w:gridCol w:w="109"/>
        <w:gridCol w:w="109"/>
        <w:gridCol w:w="109"/>
        <w:gridCol w:w="109"/>
        <w:gridCol w:w="226"/>
        <w:gridCol w:w="946"/>
        <w:gridCol w:w="155"/>
      </w:tblGrid>
      <w:tr>
        <w:trPr/>
        <w:tc>
          <w:tcPr>
            <w:tcW w:w="2550"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Six Months Ended</w:t>
            </w:r>
          </w:p>
        </w:tc>
      </w:tr>
      <w:tr>
        <w:trPr/>
        <w:tc>
          <w:tcPr>
            <w:tcW w:w="6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June 30,</w:t>
            </w:r>
          </w:p>
        </w:tc>
      </w:tr>
      <w:tr>
        <w:trPr/>
        <w:tc>
          <w:tcPr>
            <w:tcW w:w="6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2025</w:t>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173,864 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161,838 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Inter;sans-serif" w:hAnsi="Inter;sans-serif"/>
                <w:b w:val="false"/>
                <w:color w:val="000000"/>
                <w:sz w:val="18"/>
              </w:rPr>
            </w:pPr>
            <w:r>
              <w:rPr>
                <w:rFonts w:ascii="Inter;sans-serif" w:hAnsi="Inter;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31,389 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(2,646)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36,995 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10,587 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6,338 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Amortization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7,711 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Foreign currency remeasurement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1,547 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Changes in assets and liabilities, net of effect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(18,586)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36,570 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7,536 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Accounts payable, accruals,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(29,396)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Cloud Services Subscription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27,426 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(13,200)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Income taxes payable, net of 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4,011 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264,921 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280,500 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Purchases of property and equipment and investment in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(13,266)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(7,135)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(13,266)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(7,135)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Proceeds from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1,064,961 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236,089 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Repayments of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(969,055)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(371,404)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Proceeds from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Repayments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(677,830)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(9,797)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Payments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(42,444)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(42,493)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Proceeds from stock purchases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Payments for shares acquired including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(29,665)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(24,779)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Repurchases of Class B common stock under approved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(125,075)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(50,023)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(224,939)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(257,509)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9,781 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23,703 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25,637 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64,009 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146,981 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89,646 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Inter;sans-serif" w:hAnsi="Inter;sans-serif"/>
          <w:b/>
          <w:color w:val="000000"/>
          <w:sz w:val="20"/>
        </w:rPr>
      </w:pPr>
      <w:r>
        <w:rPr>
          <w:rFonts w:ascii="Inter;sans-serif" w:hAnsi="Inter;sans-serif"/>
          <w:b/>
          <w:color w:val="000000"/>
          <w:sz w:val="20"/>
        </w:rPr>
        <w:t>BENTLEY SYSTEMS, INCORPORATED</w:t>
      </w:r>
    </w:p>
    <w:p>
      <w:pPr>
        <w:pStyle w:val="TextBody"/>
        <w:bidi w:val="0"/>
        <w:spacing w:lineRule="auto" w:line="288" w:before="0" w:after="0"/>
        <w:jc w:val="center"/>
        <w:rPr>
          <w:rFonts w:ascii="Inter;sans-serif" w:hAnsi="Inter;sans-serif"/>
          <w:b/>
          <w:color w:val="000000"/>
          <w:sz w:val="20"/>
        </w:rPr>
      </w:pPr>
      <w:r>
        <w:rPr>
          <w:rFonts w:ascii="Inter;sans-serif" w:hAnsi="Inter;sans-serif"/>
          <w:b/>
          <w:color w:val="000000"/>
          <w:sz w:val="20"/>
        </w:rPr>
        <w:t>Reconciliation of GAAP to Non-GAAP Financial Measures</w:t>
      </w:r>
    </w:p>
    <w:p>
      <w:pPr>
        <w:pStyle w:val="TextBody"/>
        <w:bidi w:val="0"/>
        <w:spacing w:lineRule="auto" w:line="288" w:before="0" w:after="0"/>
        <w:jc w:val="center"/>
        <w:rPr>
          <w:rFonts w:ascii="Inter;sans-serif" w:hAnsi="Inter;sans-serif"/>
          <w:b/>
          <w:color w:val="000000"/>
          <w:sz w:val="18"/>
        </w:rPr>
      </w:pPr>
      <w:r>
        <w:rPr>
          <w:rFonts w:ascii="Inter;sans-serif" w:hAnsi="Inter;sans-serif"/>
          <w:b/>
          <w:color w:val="000000"/>
          <w:sz w:val="18"/>
        </w:rPr>
        <w:t>(in thousands, except share and per share data)</w:t>
      </w:r>
    </w:p>
    <w:p>
      <w:pPr>
        <w:pStyle w:val="TextBody"/>
        <w:bidi w:val="0"/>
        <w:spacing w:lineRule="auto" w:line="288" w:before="0" w:after="0"/>
        <w:jc w:val="center"/>
        <w:rPr>
          <w:rFonts w:ascii="Inter;sans-serif" w:hAnsi="Inter;sans-serif"/>
          <w:b/>
          <w:color w:val="000000"/>
          <w:sz w:val="18"/>
        </w:rPr>
      </w:pPr>
      <w:r>
        <w:rPr>
          <w:rFonts w:ascii="Inter;sans-serif" w:hAnsi="Inter;sans-serif"/>
          <w:b/>
          <w:color w:val="000000"/>
          <w:sz w:val="18"/>
        </w:rPr>
        <w:t>(unaudited)</w:t>
      </w:r>
    </w:p>
    <w:p>
      <w:pPr>
        <w:pStyle w:val="TextBody"/>
        <w:bidi w:val="0"/>
        <w:spacing w:before="0" w:after="0"/>
        <w:jc w:val="center"/>
        <w:rPr/>
      </w:pPr>
      <w:r>
        <w:rPr/>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Reconciliation of operating income to AOI less Operating SBC and to Adjusted operating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62"/>
        <w:gridCol w:w="1131"/>
        <w:gridCol w:w="1133"/>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6"/>
      </w:tblGrid>
      <w:tr>
        <w:trPr/>
        <w:tc>
          <w:tcPr>
            <w:tcW w:w="146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Six Months Ended</w:t>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June 30,</w:t>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2025</w:t>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214,868 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199,614 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Amortization of purchased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22,849 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10,587 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Inter;sans-serif" w:hAnsi="Inter;sans-serif"/>
                <w:b w:val="false"/>
                <w:color w:val="000000"/>
                <w:sz w:val="18"/>
              </w:rPr>
              <w:t>Acquisition expenses</w:t>
            </w:r>
            <w:r>
              <w:rPr>
                <w:rFonts w:ascii="Inter;sans-serif" w:hAnsi="Inter;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6,276 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Inter;sans-serif" w:hAnsi="Inter;sans-serif"/>
                <w:b w:val="false"/>
                <w:color w:val="000000"/>
                <w:sz w:val="18"/>
              </w:rPr>
              <w:t>Integration costs</w:t>
            </w:r>
            <w:r>
              <w:rPr>
                <w:rFonts w:ascii="Inter;sans-serif" w:hAnsi="Inter;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Realignment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AOI less Operating SBC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116,036 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106,769 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256,959 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235,077 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Operating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32,990 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137,832 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124,542 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296,727 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268,067 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56"/>
        <w:jc w:val="left"/>
        <w:rPr>
          <w:rFonts w:ascii="Inter;sans-serif" w:hAnsi="Inter;sans-serif"/>
          <w:b w:val="false"/>
          <w:color w:val="000000"/>
          <w:sz w:val="14"/>
        </w:rPr>
      </w:pPr>
      <w:r>
        <w:rPr>
          <w:rFonts w:ascii="Inter;sans-serif" w:hAnsi="Inter;sans-serif"/>
          <w:b w:val="false"/>
          <w:color w:val="000000"/>
          <w:sz w:val="14"/>
        </w:rPr>
        <w:t>(1)Beginning in the first quarter of 2026, we expanded our acquisition expenses adjustment to include cash- and equity</w:t>
        <w:noBreakHyphen/>
        <w:t>settled retention incentives provided to key employees of acquired companies, and renamed the measure from AOI less SBC to AOI less Operating SBC. Prior period amounts have been revised to conform to the current definition. Refer to the section titled “Non</w:t>
        <w:noBreakHyphen/>
        <w:t>GAAP Financial Measures” for details.</w:t>
      </w:r>
    </w:p>
    <w:p>
      <w:pPr>
        <w:pStyle w:val="TextBody"/>
        <w:bidi w:val="0"/>
        <w:spacing w:lineRule="auto" w:line="288" w:before="0" w:after="0"/>
        <w:ind w:left="0" w:right="0" w:hanging="276"/>
        <w:jc w:val="left"/>
        <w:rPr>
          <w:rFonts w:ascii="Inter;sans-serif" w:hAnsi="Inter;sans-serif"/>
          <w:b w:val="false"/>
          <w:color w:val="000000"/>
          <w:sz w:val="14"/>
        </w:rPr>
      </w:pPr>
      <w:r>
        <w:rPr>
          <w:rFonts w:ascii="Inter;sans-serif" w:hAnsi="Inter;sans-serif"/>
          <w:b w:val="false"/>
          <w:color w:val="000000"/>
          <w:sz w:val="14"/>
        </w:rPr>
        <w:t>(2)Beginning in the second quarter of 2026, applying the same principle, we began adjusting for integration costs incurred to integrate acquired businesses into our operations. We continue to adjust for discrete realignment initiatives, and we do not adjust for severance or organizational and workforce changes undertaken in the ordinary course of managing our business, which remain reflected in AOI less Operating SBC. No integration costs were incurred in periods prior to the second quarter of 2026. Refer to the section titled “Non</w:t>
        <w:noBreakHyphen/>
        <w:t>GAAP Financial Measures” for details.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Reconciliation of net income attributable to Bentley Systems to Adjusted net income:</w:t>
      </w:r>
    </w:p>
    <w:p>
      <w:pPr>
        <w:pStyle w:val="TextBody"/>
        <w:bidi w:val="0"/>
        <w:spacing w:before="0" w:after="0"/>
        <w:jc w:val="left"/>
        <w:rPr/>
      </w:pPr>
      <w:r>
        <w:rPr/>
      </w:r>
    </w:p>
    <w:tbl>
      <w:tblPr>
        <w:tblW w:w="11548" w:type="dxa"/>
        <w:jc w:val="left"/>
        <w:tblInd w:w="0" w:type="dxa"/>
        <w:tblLayout w:type="fixed"/>
        <w:tblCellMar>
          <w:top w:w="28" w:type="dxa"/>
          <w:left w:w="28" w:type="dxa"/>
          <w:bottom w:w="28" w:type="dxa"/>
          <w:right w:w="28" w:type="dxa"/>
        </w:tblCellMar>
      </w:tblPr>
      <w:tblGrid>
        <w:gridCol w:w="607"/>
        <w:gridCol w:w="349"/>
        <w:gridCol w:w="350"/>
        <w:gridCol w:w="211"/>
        <w:gridCol w:w="826"/>
        <w:gridCol w:w="109"/>
        <w:gridCol w:w="109"/>
        <w:gridCol w:w="109"/>
        <w:gridCol w:w="109"/>
        <w:gridCol w:w="211"/>
        <w:gridCol w:w="511"/>
        <w:gridCol w:w="109"/>
        <w:gridCol w:w="109"/>
        <w:gridCol w:w="109"/>
        <w:gridCol w:w="109"/>
        <w:gridCol w:w="211"/>
        <w:gridCol w:w="826"/>
        <w:gridCol w:w="109"/>
        <w:gridCol w:w="109"/>
        <w:gridCol w:w="109"/>
        <w:gridCol w:w="109"/>
        <w:gridCol w:w="211"/>
        <w:gridCol w:w="511"/>
        <w:gridCol w:w="109"/>
        <w:gridCol w:w="109"/>
        <w:gridCol w:w="109"/>
        <w:gridCol w:w="109"/>
        <w:gridCol w:w="211"/>
        <w:gridCol w:w="826"/>
        <w:gridCol w:w="109"/>
        <w:gridCol w:w="109"/>
        <w:gridCol w:w="109"/>
        <w:gridCol w:w="109"/>
        <w:gridCol w:w="211"/>
        <w:gridCol w:w="511"/>
        <w:gridCol w:w="109"/>
        <w:gridCol w:w="109"/>
        <w:gridCol w:w="109"/>
        <w:gridCol w:w="109"/>
        <w:gridCol w:w="211"/>
        <w:gridCol w:w="826"/>
        <w:gridCol w:w="109"/>
        <w:gridCol w:w="109"/>
        <w:gridCol w:w="109"/>
        <w:gridCol w:w="109"/>
        <w:gridCol w:w="211"/>
        <w:gridCol w:w="51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Six Months Ended</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June 30,</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2025</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Inter;sans-serif" w:hAnsi="Inter;sans-serif"/>
                <w:b/>
                <w:color w:val="000000"/>
                <w:sz w:val="14"/>
              </w:rPr>
              <w:t>EPS</w:t>
            </w:r>
            <w:r>
              <w:rPr>
                <w:rFonts w:ascii="Inter;sans-serif" w:hAnsi="Inter;sans-serif"/>
                <w:b/>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Inter;sans-serif" w:hAnsi="Inter;sans-serif"/>
                <w:b/>
                <w:color w:val="000000"/>
                <w:sz w:val="14"/>
              </w:rPr>
              <w:t>EPS</w:t>
            </w:r>
            <w:r>
              <w:rPr>
                <w:rFonts w:ascii="Inter;sans-serif" w:hAnsi="Inter;sans-serif"/>
                <w:b/>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Inter;sans-serif" w:hAnsi="Inter;sans-serif"/>
                <w:b/>
                <w:color w:val="000000"/>
                <w:sz w:val="14"/>
              </w:rPr>
              <w:t>EPS</w:t>
            </w:r>
            <w:r>
              <w:rPr>
                <w:rFonts w:ascii="Inter;sans-serif" w:hAnsi="Inter;sans-serif"/>
                <w:b/>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90"/>
              <w:jc w:val="center"/>
              <w:rPr/>
            </w:pPr>
            <w:r>
              <w:rPr>
                <w:rFonts w:ascii="Inter;sans-serif" w:hAnsi="Inter;sans-serif"/>
                <w:b/>
                <w:color w:val="000000"/>
                <w:sz w:val="14"/>
              </w:rPr>
              <w:t>EPS</w:t>
            </w:r>
            <w:r>
              <w:rPr>
                <w:rFonts w:ascii="Inter;sans-serif" w:hAnsi="Inter;sans-serif"/>
                <w:b/>
                <w:color w:val="000000"/>
                <w:sz w:val="9"/>
              </w:rPr>
              <w:t>(1)</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Net income attributable to Bentley Systems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78,573 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70,482 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173,959 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161,850 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Non-GAAP adjustments, prior to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6"/>
              </w:rPr>
            </w:pPr>
            <w:r>
              <w:rPr>
                <w:rFonts w:ascii="Inter;sans-serif" w:hAnsi="Inter;sans-serif"/>
                <w:b w:val="false"/>
                <w:color w:val="000000"/>
                <w:sz w:val="16"/>
              </w:rPr>
              <w:t>Amortization of purchased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23,611 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22,849 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Inter;sans-serif" w:hAnsi="Inter;sans-serif"/>
                <w:b w:val="false"/>
                <w:color w:val="000000"/>
                <w:sz w:val="16"/>
              </w:rPr>
            </w:pPr>
            <w:r>
              <w:rPr>
                <w:rFonts w:ascii="Inter;sans-serif" w:hAnsi="Inter;sans-serif"/>
                <w:b w:val="false"/>
                <w:color w:val="000000"/>
                <w:sz w:val="16"/>
              </w:rPr>
              <w:t>Operating 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21,796 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39,768 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32,990 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6"/>
              </w:rPr>
            </w:pPr>
            <w:r>
              <w:rPr>
                <w:rFonts w:ascii="Inter;sans-serif" w:hAnsi="Inter;sans-serif"/>
                <w:b w:val="false"/>
                <w:color w:val="000000"/>
                <w:sz w:val="16"/>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Inter;sans-serif" w:hAnsi="Inter;sans-serif"/>
                <w:b w:val="false"/>
                <w:color w:val="000000"/>
                <w:sz w:val="16"/>
              </w:rPr>
              <w:t>Acquisition expenses</w:t>
            </w:r>
            <w:r>
              <w:rPr>
                <w:rFonts w:ascii="Inter;sans-serif" w:hAnsi="Inter;sans-serif"/>
                <w:b w:val="false"/>
                <w:color w:val="000000"/>
                <w:sz w:val="10"/>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Inter;sans-serif" w:hAnsi="Inter;sans-serif"/>
                <w:b w:val="false"/>
                <w:color w:val="000000"/>
                <w:sz w:val="16"/>
              </w:rPr>
              <w:t>Integration costs</w:t>
            </w:r>
            <w:r>
              <w:rPr>
                <w:rFonts w:ascii="Inter;sans-serif" w:hAnsi="Inter;sans-serif"/>
                <w:b w:val="false"/>
                <w:color w:val="000000"/>
                <w:sz w:val="10"/>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6"/>
              </w:rPr>
            </w:pPr>
            <w:r>
              <w:rPr>
                <w:rFonts w:ascii="Inter;sans-serif" w:hAnsi="Inter;sans-serif"/>
                <w:b w:val="false"/>
                <w:color w:val="000000"/>
                <w:sz w:val="16"/>
              </w:rPr>
              <w:t>Realignment expenses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(15,564)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(16,061)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Total non-GAAP adjustments, prior to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33,660 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41,708 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65,798 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69,600 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Income tax effect of non-GAAP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(2,569)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(6,651)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(7,539)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(11,333)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Equity in net income of investees,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Inter;sans-serif" w:hAnsi="Inter;sans-serif"/>
                <w:b w:val="false"/>
                <w:color w:val="000000"/>
                <w:sz w:val="16"/>
              </w:rPr>
              <w:t>Adjusted net income</w:t>
            </w:r>
            <w:r>
              <w:rPr>
                <w:rFonts w:ascii="Inter;sans-serif" w:hAnsi="Inter;sans-serif"/>
                <w:b w:val="false"/>
                <w:color w:val="000000"/>
                <w:sz w:val="10"/>
              </w:rPr>
              <w:t>(2)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109,609 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105,478 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232,216 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220,055 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6"/>
              </w:rPr>
            </w:pPr>
            <w:r>
              <w:rPr>
                <w:rFonts w:ascii="Inter;sans-serif" w:hAnsi="Inter;sans-serif"/>
                <w:b w:val="false"/>
                <w:color w:val="000000"/>
                <w:sz w:val="16"/>
              </w:rPr>
              <w:t>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6"/>
              </w:rPr>
            </w:pPr>
            <w:r>
              <w:rPr>
                <w:rFonts w:ascii="Inter;sans-serif" w:hAnsi="Inter;sans-serif"/>
                <w:b w:val="false"/>
                <w:color w:val="000000"/>
                <w:sz w:val="16"/>
              </w:rPr>
              <w:t>Adjusted diluted weighted average shares</w:t>
            </w:r>
          </w:p>
        </w:tc>
        <w:tc>
          <w:tcPr>
            <w:tcW w:w="2304" w:type="dxa"/>
            <w:gridSpan w:val="9"/>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Inter;sans-serif" w:hAnsi="Inter;sans-serif"/>
                <w:b w:val="false"/>
                <w:color w:val="000000"/>
                <w:sz w:val="16"/>
              </w:rPr>
            </w:pPr>
            <w:r>
              <w:rPr>
                <w:rFonts w:ascii="Inter;sans-serif" w:hAnsi="Inter;sans-serif"/>
                <w:b w:val="false"/>
                <w:color w:val="000000"/>
                <w:sz w:val="16"/>
              </w:rPr>
              <w:t>318,957,692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Inter;sans-serif" w:hAnsi="Inter;sans-serif"/>
                <w:b w:val="false"/>
                <w:color w:val="000000"/>
                <w:sz w:val="16"/>
              </w:rPr>
            </w:pPr>
            <w:r>
              <w:rPr>
                <w:rFonts w:ascii="Inter;sans-serif" w:hAnsi="Inter;sans-serif"/>
                <w:b w:val="false"/>
                <w:color w:val="000000"/>
                <w:sz w:val="16"/>
              </w:rPr>
              <w:t>332,824,020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Inter;sans-serif" w:hAnsi="Inter;sans-serif"/>
                <w:b w:val="false"/>
                <w:color w:val="000000"/>
                <w:sz w:val="16"/>
              </w:rPr>
            </w:pPr>
            <w:r>
              <w:rPr>
                <w:rFonts w:ascii="Inter;sans-serif" w:hAnsi="Inter;sans-serif"/>
                <w:b w:val="false"/>
                <w:color w:val="000000"/>
                <w:sz w:val="16"/>
              </w:rPr>
              <w:t>320,435,795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Inter;sans-serif" w:hAnsi="Inter;sans-serif"/>
                <w:b w:val="false"/>
                <w:color w:val="000000"/>
                <w:sz w:val="16"/>
              </w:rPr>
            </w:pPr>
            <w:r>
              <w:rPr>
                <w:rFonts w:ascii="Inter;sans-serif" w:hAnsi="Inter;sans-serif"/>
                <w:b w:val="false"/>
                <w:color w:val="000000"/>
                <w:sz w:val="16"/>
              </w:rPr>
              <w:t>333,150,282</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56"/>
        <w:jc w:val="left"/>
        <w:rPr>
          <w:rFonts w:ascii="Inter;sans-serif" w:hAnsi="Inter;sans-serif"/>
          <w:b w:val="false"/>
          <w:color w:val="000000"/>
          <w:sz w:val="14"/>
        </w:rPr>
      </w:pPr>
      <w:r>
        <w:rPr>
          <w:rFonts w:ascii="Inter;sans-serif" w:hAnsi="Inter;sans-serif"/>
          <w:b w:val="false"/>
          <w:color w:val="000000"/>
          <w:sz w:val="14"/>
        </w:rPr>
        <w:t>(1)Adjusted EPS was computed independently for each reconciling item presented; therefore, the sum of Adjusted EPS for each line item may not equal total Adjusted EPS due to rounding.</w:t>
      </w:r>
    </w:p>
    <w:p>
      <w:pPr>
        <w:pStyle w:val="TextBody"/>
        <w:bidi w:val="0"/>
        <w:spacing w:lineRule="auto" w:line="288" w:before="0" w:after="60"/>
        <w:ind w:left="0" w:right="0" w:hanging="276"/>
        <w:jc w:val="left"/>
        <w:rPr>
          <w:rFonts w:ascii="Inter;sans-serif" w:hAnsi="Inter;sans-serif"/>
          <w:b w:val="false"/>
          <w:color w:val="000000"/>
          <w:sz w:val="14"/>
        </w:rPr>
      </w:pPr>
      <w:r>
        <w:rPr>
          <w:rFonts w:ascii="Inter;sans-serif" w:hAnsi="Inter;sans-serif"/>
          <w:b w:val="false"/>
          <w:color w:val="000000"/>
          <w:sz w:val="14"/>
        </w:rPr>
        <w:t>(2)Adjusted EPS numerator includes $873 and $1,714 for the three months ended June 30, 2026 and 2025, respectively, and $1,882 and $3,283 for the six months ended June 30, 2026 and 2025, respectively, related to interest expense, net of tax, attributable to the convertible senior notes using the if</w:t>
        <w:noBreakHyphen/>
        <w:t>converted method.</w:t>
      </w:r>
    </w:p>
    <w:p>
      <w:pPr>
        <w:pStyle w:val="TextBody"/>
        <w:bidi w:val="0"/>
        <w:spacing w:lineRule="auto" w:line="288" w:before="0" w:after="60"/>
        <w:ind w:left="0" w:right="0" w:hanging="280"/>
        <w:jc w:val="left"/>
        <w:rPr>
          <w:rFonts w:ascii="Inter;sans-serif" w:hAnsi="Inter;sans-serif"/>
          <w:b w:val="false"/>
          <w:color w:val="000000"/>
          <w:sz w:val="14"/>
        </w:rPr>
      </w:pPr>
      <w:r>
        <w:rPr>
          <w:rFonts w:ascii="Inter;sans-serif" w:hAnsi="Inter;sans-serif"/>
          <w:b w:val="false"/>
          <w:color w:val="000000"/>
          <w:sz w:val="14"/>
        </w:rPr>
        <w:t>(3)See footnote (1) to the reconciliation of operating income to AOI less Operating SBC and to Adjusted operating income presented above.</w:t>
      </w:r>
    </w:p>
    <w:p>
      <w:pPr>
        <w:pStyle w:val="TextBody"/>
        <w:bidi w:val="0"/>
        <w:spacing w:lineRule="auto" w:line="288" w:before="0" w:after="0"/>
        <w:ind w:left="0" w:right="0" w:hanging="281"/>
        <w:jc w:val="left"/>
        <w:rPr>
          <w:rFonts w:ascii="Inter;sans-serif" w:hAnsi="Inter;sans-serif"/>
          <w:b w:val="false"/>
          <w:color w:val="000000"/>
          <w:sz w:val="14"/>
        </w:rPr>
      </w:pPr>
      <w:r>
        <w:rPr>
          <w:rFonts w:ascii="Inter;sans-serif" w:hAnsi="Inter;sans-serif"/>
          <w:b w:val="false"/>
          <w:color w:val="000000"/>
          <w:sz w:val="14"/>
        </w:rPr>
        <w:t>(4)See footnote (2) to the reconciliation of operating income to AOI less Operating SBC and to Adjusted operating income presented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Reconciliation of cash flows from operating activities to free cash flow: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1"/>
        <w:gridCol w:w="1342"/>
        <w:gridCol w:w="1351"/>
        <w:gridCol w:w="226"/>
        <w:gridCol w:w="826"/>
        <w:gridCol w:w="109"/>
        <w:gridCol w:w="109"/>
        <w:gridCol w:w="109"/>
        <w:gridCol w:w="109"/>
        <w:gridCol w:w="226"/>
        <w:gridCol w:w="826"/>
        <w:gridCol w:w="109"/>
        <w:gridCol w:w="109"/>
        <w:gridCol w:w="109"/>
        <w:gridCol w:w="109"/>
        <w:gridCol w:w="226"/>
        <w:gridCol w:w="946"/>
        <w:gridCol w:w="109"/>
        <w:gridCol w:w="109"/>
        <w:gridCol w:w="109"/>
        <w:gridCol w:w="109"/>
        <w:gridCol w:w="226"/>
        <w:gridCol w:w="946"/>
        <w:gridCol w:w="155"/>
      </w:tblGrid>
      <w:tr>
        <w:trPr/>
        <w:tc>
          <w:tcPr>
            <w:tcW w:w="160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Six Months Ended</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June 30,</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2025</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Cash flows from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264,921 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280,500 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Purchases of property and equipment and investment in capitalized software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(13,266)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(7,135)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Free cash flow</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63,798 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56,994 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251,655 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273,365 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Reconciliation of cash flows from operating activities to Adjusted EBITDA: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5"/>
        <w:gridCol w:w="1275"/>
        <w:gridCol w:w="1284"/>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5"/>
      </w:tblGrid>
      <w:tr>
        <w:trPr/>
        <w:tc>
          <w:tcPr>
            <w:tcW w:w="14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Six Months Ended</w:t>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June 30,</w:t>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6"/>
              </w:rPr>
            </w:pPr>
            <w:r>
              <w:rPr>
                <w:rFonts w:ascii="Inter;sans-serif" w:hAnsi="Inter;sans-serif"/>
                <w:b/>
                <w:color w:val="000000"/>
                <w:sz w:val="16"/>
              </w:rPr>
              <w:t>2025</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Cash flows from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264,921 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280,500 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Cash interest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3,324 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Cash taxes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29,707 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Cash deferred compensation plan distributions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Cash acquisition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Changes in operating assets and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40,042 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(40,551)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Inter;sans-serif" w:hAnsi="Inter;sans-serif"/>
                <w:b w:val="false"/>
                <w:color w:val="000000"/>
                <w:sz w:val="18"/>
              </w:rPr>
              <w:t>Other</w:t>
            </w:r>
            <w:r>
              <w:rPr>
                <w:rFonts w:ascii="Inter;sans-serif" w:hAnsi="Inter;sans-serif"/>
                <w:b w:val="false"/>
                <w:color w:val="000000"/>
                <w:sz w:val="12"/>
              </w:rPr>
              <w:t>(1)</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Adjusted EBITDA</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143,356 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129,318 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306,722 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277,460 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rFonts w:ascii="Inter;sans-serif" w:hAnsi="Inter;sans-serif"/>
          <w:b w:val="false"/>
          <w:color w:val="000000"/>
          <w:sz w:val="16"/>
        </w:rPr>
      </w:pPr>
      <w:r>
        <w:rPr>
          <w:rFonts w:ascii="Inter;sans-serif" w:hAnsi="Inter;sans-serif"/>
          <w:b w:val="false"/>
          <w:color w:val="000000"/>
          <w:sz w:val="16"/>
        </w:rPr>
        <w:t>(1) Includes receipts related to interest rate swap.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Inter;sans-serif" w:hAnsi="Inter;sans-serif"/>
          <w:b w:val="false"/>
          <w:color w:val="000000"/>
          <w:sz w:val="20"/>
        </w:rPr>
      </w:pPr>
      <w:r>
        <w:rPr>
          <w:rFonts w:ascii="Inter;sans-serif" w:hAnsi="Inter;sans-serif"/>
          <w:b w:val="false"/>
          <w:color w:val="000000"/>
          <w:sz w:val="20"/>
        </w:rPr>
        <w:t>Reconciliation of total revenues and subscriptions revenues to total revenues and subscriptions revenues in constant currency:</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26"/>
        <w:gridCol w:w="463"/>
        <w:gridCol w:w="380"/>
        <w:gridCol w:w="226"/>
        <w:gridCol w:w="946"/>
        <w:gridCol w:w="109"/>
        <w:gridCol w:w="109"/>
        <w:gridCol w:w="109"/>
        <w:gridCol w:w="109"/>
        <w:gridCol w:w="235"/>
        <w:gridCol w:w="756"/>
        <w:gridCol w:w="113"/>
        <w:gridCol w:w="109"/>
        <w:gridCol w:w="109"/>
        <w:gridCol w:w="109"/>
        <w:gridCol w:w="226"/>
        <w:gridCol w:w="949"/>
        <w:gridCol w:w="109"/>
        <w:gridCol w:w="109"/>
        <w:gridCol w:w="109"/>
        <w:gridCol w:w="109"/>
        <w:gridCol w:w="226"/>
        <w:gridCol w:w="946"/>
        <w:gridCol w:w="109"/>
        <w:gridCol w:w="109"/>
        <w:gridCol w:w="109"/>
        <w:gridCol w:w="109"/>
        <w:gridCol w:w="240"/>
        <w:gridCol w:w="559"/>
        <w:gridCol w:w="115"/>
        <w:gridCol w:w="109"/>
        <w:gridCol w:w="109"/>
        <w:gridCol w:w="109"/>
        <w:gridCol w:w="226"/>
        <w:gridCol w:w="949"/>
        <w:gridCol w:w="162"/>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Three Months Ended June 30, 2025</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nter;sans-serif" w:hAnsi="Inter;sans-serif"/>
                <w:b/>
                <w:color w:val="000000"/>
                <w:sz w:val="14"/>
              </w:rPr>
            </w:pPr>
            <w:r>
              <w:rPr>
                <w:rFonts w:ascii="Inter;sans-serif" w:hAnsi="Inter;sans-serif"/>
                <w:b/>
                <w:color w:val="000000"/>
                <w:sz w:val="14"/>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nter;sans-serif" w:hAnsi="Inter;sans-serif"/>
                <w:b/>
                <w:color w:val="000000"/>
                <w:sz w:val="14"/>
              </w:rPr>
            </w:pPr>
            <w:r>
              <w:rPr>
                <w:rFonts w:ascii="Inter;sans-serif" w:hAnsi="Inter;sans-serif"/>
                <w:b/>
                <w:color w:val="000000"/>
                <w:sz w:val="14"/>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nter;sans-serif" w:hAnsi="Inter;sans-serif"/>
                <w:b/>
                <w:color w:val="000000"/>
                <w:sz w:val="14"/>
              </w:rPr>
            </w:pPr>
            <w:r>
              <w:rPr>
                <w:rFonts w:ascii="Inter;sans-serif" w:hAnsi="Inter;sans-serif"/>
                <w:b/>
                <w:color w:val="000000"/>
                <w:sz w:val="14"/>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nter;sans-serif" w:hAnsi="Inter;sans-serif"/>
                <w:b/>
                <w:color w:val="000000"/>
                <w:sz w:val="14"/>
              </w:rPr>
            </w:pPr>
            <w:r>
              <w:rPr>
                <w:rFonts w:ascii="Inter;sans-serif" w:hAnsi="Inter;sans-serif"/>
                <w:b/>
                <w:color w:val="000000"/>
                <w:sz w:val="14"/>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nter;sans-serif" w:hAnsi="Inter;sans-serif"/>
                <w:b/>
                <w:color w:val="000000"/>
                <w:sz w:val="14"/>
              </w:rPr>
            </w:pPr>
            <w:r>
              <w:rPr>
                <w:rFonts w:ascii="Inter;sans-serif" w:hAnsi="Inter;sans-serif"/>
                <w:b/>
                <w:color w:val="000000"/>
                <w:sz w:val="14"/>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nter;sans-serif" w:hAnsi="Inter;sans-serif"/>
                <w:b/>
                <w:color w:val="000000"/>
                <w:sz w:val="14"/>
              </w:rPr>
            </w:pPr>
            <w:r>
              <w:rPr>
                <w:rFonts w:ascii="Inter;sans-serif" w:hAnsi="Inter;sans-serif"/>
                <w:b/>
                <w:color w:val="000000"/>
                <w:sz w:val="14"/>
              </w:rPr>
              <w:t>Constant Currency</w:t>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Total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410,727 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(1,895)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408,832 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364,106 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364,289 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Subscriptions revenues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(1,618)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377,017 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333,452 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333,635 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20"/>
        <w:gridCol w:w="458"/>
        <w:gridCol w:w="373"/>
        <w:gridCol w:w="226"/>
        <w:gridCol w:w="946"/>
        <w:gridCol w:w="109"/>
        <w:gridCol w:w="109"/>
        <w:gridCol w:w="109"/>
        <w:gridCol w:w="109"/>
        <w:gridCol w:w="226"/>
        <w:gridCol w:w="844"/>
        <w:gridCol w:w="109"/>
        <w:gridCol w:w="109"/>
        <w:gridCol w:w="109"/>
        <w:gridCol w:w="109"/>
        <w:gridCol w:w="226"/>
        <w:gridCol w:w="946"/>
        <w:gridCol w:w="109"/>
        <w:gridCol w:w="109"/>
        <w:gridCol w:w="109"/>
        <w:gridCol w:w="109"/>
        <w:gridCol w:w="226"/>
        <w:gridCol w:w="946"/>
        <w:gridCol w:w="109"/>
        <w:gridCol w:w="109"/>
        <w:gridCol w:w="109"/>
        <w:gridCol w:w="109"/>
        <w:gridCol w:w="227"/>
        <w:gridCol w:w="529"/>
        <w:gridCol w:w="109"/>
        <w:gridCol w:w="109"/>
        <w:gridCol w:w="109"/>
        <w:gridCol w:w="109"/>
        <w:gridCol w:w="226"/>
        <w:gridCol w:w="946"/>
        <w:gridCol w:w="160"/>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Six Months Ended June 30,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nter;sans-serif" w:hAnsi="Inter;sans-serif"/>
                <w:b/>
                <w:color w:val="000000"/>
                <w:sz w:val="14"/>
              </w:rPr>
            </w:pPr>
            <w:r>
              <w:rPr>
                <w:rFonts w:ascii="Inter;sans-serif" w:hAnsi="Inter;sans-serif"/>
                <w:b/>
                <w:color w:val="000000"/>
                <w:sz w:val="14"/>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nter;sans-serif" w:hAnsi="Inter;sans-serif"/>
                <w:b/>
                <w:color w:val="000000"/>
                <w:sz w:val="14"/>
              </w:rPr>
            </w:pPr>
            <w:r>
              <w:rPr>
                <w:rFonts w:ascii="Inter;sans-serif" w:hAnsi="Inter;sans-serif"/>
                <w:b/>
                <w:color w:val="000000"/>
                <w:sz w:val="14"/>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nter;sans-serif" w:hAnsi="Inter;sans-serif"/>
                <w:b/>
                <w:color w:val="000000"/>
                <w:sz w:val="14"/>
              </w:rPr>
            </w:pPr>
            <w:r>
              <w:rPr>
                <w:rFonts w:ascii="Inter;sans-serif" w:hAnsi="Inter;sans-serif"/>
                <w:b/>
                <w:color w:val="000000"/>
                <w:sz w:val="14"/>
              </w:rPr>
              <w:t>Constant Currency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Total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834,908 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(11,183)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823,725 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734,648 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734,898 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Inter;sans-serif" w:hAnsi="Inter;sans-serif"/>
                <w:b w:val="false"/>
                <w:color w:val="000000"/>
                <w:sz w:val="18"/>
              </w:rPr>
            </w:pPr>
            <w:r>
              <w:rPr>
                <w:rFonts w:ascii="Inter;sans-serif" w:hAnsi="Inter;sans-serif"/>
                <w:b w:val="false"/>
                <w:color w:val="000000"/>
                <w:sz w:val="18"/>
              </w:rPr>
              <w:t>Subscriptions revenues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771,119 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(9,991)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761,128 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675,770 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nter;sans-serif" w:hAnsi="Inter;sans-serif"/>
                <w:b w:val="false"/>
                <w:color w:val="000000"/>
                <w:sz w:val="18"/>
              </w:rPr>
            </w:pPr>
            <w:r>
              <w:rPr>
                <w:rFonts w:ascii="Inter;sans-serif" w:hAnsi="Inter;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nter;sans-serif" w:hAnsi="Inter;sans-serif"/>
                <w:b w:val="false"/>
                <w:color w:val="000000"/>
                <w:sz w:val="18"/>
              </w:rPr>
            </w:pPr>
            <w:r>
              <w:rPr>
                <w:rFonts w:ascii="Inter;sans-serif" w:hAnsi="Inter;sans-serif"/>
                <w:b w:val="false"/>
                <w:color w:val="000000"/>
                <w:sz w:val="18"/>
              </w:rPr>
              <w:t>676,012 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00"/>
        <w:jc w:val="right"/>
        <w:rPr>
          <w:rFonts w:ascii="Inter;sans-serif" w:hAnsi="Inter;sans-serif"/>
          <w:b/>
          <w:color w:val="000000"/>
          <w:sz w:val="20"/>
        </w:rPr>
      </w:pPr>
      <w:r>
        <w:rPr>
          <w:rFonts w:ascii="Inter;sans-serif" w:hAnsi="Inter;sans-serif"/>
          <w:b/>
          <w:color w:val="000000"/>
          <w:sz w:val="20"/>
        </w:rPr>
        <w:t>Exhibit 99.2</w:t>
      </w:r>
    </w:p>
    <w:p>
      <w:pPr>
        <w:pStyle w:val="TextBody"/>
        <w:bidi w:val="0"/>
        <w:spacing w:lineRule="auto" w:line="288" w:before="0" w:after="200"/>
        <w:jc w:val="both"/>
        <w:rPr>
          <w:rFonts w:ascii="Inter;sans-serif" w:hAnsi="Inter;sans-serif"/>
          <w:b/>
          <w:color w:val="000000"/>
          <w:sz w:val="20"/>
        </w:rPr>
      </w:pPr>
      <w:r>
        <w:rPr>
          <w:rFonts w:ascii="Inter;sans-serif" w:hAnsi="Inter;sans-serif"/>
          <w:b/>
          <w:color w:val="000000"/>
          <w:sz w:val="20"/>
        </w:rPr>
        <w:t>Explanation of Non-GAAP and Other Financial Measures</w:t>
      </w:r>
    </w:p>
    <w:p>
      <w:pPr>
        <w:pStyle w:val="TextBody"/>
        <w:bidi w:val="0"/>
        <w:spacing w:lineRule="auto" w:line="288" w:before="0" w:after="200"/>
        <w:jc w:val="left"/>
        <w:rPr>
          <w:rFonts w:ascii="Inter;sans-serif" w:hAnsi="Inter;sans-serif"/>
          <w:b w:val="false"/>
          <w:color w:val="000000"/>
          <w:sz w:val="20"/>
        </w:rPr>
      </w:pPr>
      <w:r>
        <w:rPr>
          <w:rFonts w:ascii="Inter;sans-serif" w:hAnsi="Inter;sans-serif"/>
          <w:b w:val="false"/>
          <w:color w:val="000000"/>
          <w:sz w:val="20"/>
        </w:rPr>
        <w:t>This Exhibit 99.2 to the accompanying Current Report on Form 8-K for Bentley Systems, Incorporated (“Bentley Systems,” the “Company,” “we,” “our,” and words of similar import) sets forth the reasons we believe that presentation of financial measures not in accordance with GAAP contained in this press release filed as Exhibit 99.1 to the Current Report on Form 8-K provides useful information to investors regarding our results of operations, financial condition, and liquidity. To the extent material, this Exhibit also discloses the additional purposes, if any, for which our management uses these non</w:t>
        <w:noBreakHyphen/>
        <w:t>GAAP financial measures. Reconciliations between these non</w:t>
        <w:noBreakHyphen/>
        <w:t>GAAP financial measures to their most directly comparable GAAP financial measures are included in this press release itself. Non</w:t>
        <w:noBreakHyphen/>
        <w:t>GAAP financial information should be considered in addition to, not as a substitute for, or in isolation from, the financial information prepared in accordance with GAAP, including operating income, net income, diluted net income per share attributable to Bentley Systems stockholders, cash flows from operating activities or other measures of performance or liquidity, and should be read in conjunction with the financial statements included in our Quarterly Report on Form 10</w:t>
        <w:noBreakHyphen/>
        <w:t>Q to be filed with the United States Securities and Exchange Commission.</w:t>
      </w:r>
    </w:p>
    <w:p>
      <w:pPr>
        <w:pStyle w:val="TextBody"/>
        <w:bidi w:val="0"/>
        <w:spacing w:lineRule="auto" w:line="288" w:before="0" w:after="200"/>
        <w:jc w:val="left"/>
        <w:rPr>
          <w:rFonts w:ascii="Inter;sans-serif" w:hAnsi="Inter;sans-serif"/>
          <w:b w:val="false"/>
          <w:color w:val="000000"/>
          <w:sz w:val="20"/>
        </w:rPr>
      </w:pPr>
      <w:r>
        <w:rPr>
          <w:rFonts w:ascii="Inter;sans-serif" w:hAnsi="Inter;sans-serif"/>
          <w:b w:val="false"/>
          <w:color w:val="000000"/>
          <w:sz w:val="20"/>
        </w:rPr>
        <w:t>Our non</w:t>
        <w:noBreakHyphen/>
        <w:t>GAAP and other financial measures may vary significantly from period to period for reasons unrelated to our operating performance and may differ from similarly titled measures presented by other companies.</w:t>
      </w:r>
    </w:p>
    <w:p>
      <w:pPr>
        <w:pStyle w:val="TextBody"/>
        <w:bidi w:val="0"/>
        <w:spacing w:lineRule="auto" w:line="288" w:before="0" w:after="200"/>
        <w:jc w:val="left"/>
        <w:rPr>
          <w:rFonts w:ascii="Inter;sans-serif" w:hAnsi="Inter;sans-serif"/>
          <w:b w:val="false"/>
          <w:color w:val="000000"/>
          <w:sz w:val="20"/>
          <w:u w:val="single"/>
        </w:rPr>
      </w:pPr>
      <w:r>
        <w:rPr>
          <w:rFonts w:ascii="Inter;sans-serif" w:hAnsi="Inter;sans-serif"/>
          <w:b w:val="false"/>
          <w:color w:val="000000"/>
          <w:sz w:val="20"/>
          <w:u w:val="single"/>
        </w:rPr>
        <w:t>Constant currency</w:t>
      </w:r>
    </w:p>
    <w:p>
      <w:pPr>
        <w:pStyle w:val="TextBody"/>
        <w:bidi w:val="0"/>
        <w:spacing w:lineRule="auto" w:line="288" w:before="0" w:after="200"/>
        <w:jc w:val="left"/>
        <w:rPr>
          <w:rFonts w:ascii="Inter;sans-serif" w:hAnsi="Inter;sans-serif"/>
          <w:b w:val="false"/>
          <w:color w:val="000000"/>
          <w:sz w:val="20"/>
        </w:rPr>
      </w:pPr>
      <w:r>
        <w:rPr>
          <w:rFonts w:ascii="Inter;sans-serif" w:hAnsi="Inter;sans-serif"/>
          <w:b w:val="false"/>
          <w:color w:val="000000"/>
          <w:sz w:val="20"/>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pStyle w:val="TextBody"/>
        <w:bidi w:val="0"/>
        <w:spacing w:lineRule="auto" w:line="288" w:before="0" w:after="200"/>
        <w:jc w:val="left"/>
        <w:rPr>
          <w:rFonts w:ascii="Inter;sans-serif" w:hAnsi="Inter;sans-serif"/>
          <w:b w:val="false"/>
          <w:color w:val="000000"/>
          <w:sz w:val="20"/>
        </w:rPr>
      </w:pPr>
      <w:r>
        <w:rPr>
          <w:rFonts w:ascii="Inter;sans-serif" w:hAnsi="Inter;sans-serif"/>
          <w:b w:val="false"/>
          <w:color w:val="000000"/>
          <w:sz w:val="20"/>
        </w:rPr>
        <w:t>In reporting period</w:t>
        <w:noBreakHyphen/>
        <w:t>over</w:t>
        <w:noBreakHyphen/>
        <w:t>period results, except for ARR as discussed further below,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pStyle w:val="TextBody"/>
        <w:bidi w:val="0"/>
        <w:spacing w:lineRule="auto" w:line="288" w:before="0" w:after="200"/>
        <w:jc w:val="left"/>
        <w:rPr>
          <w:rFonts w:ascii="Inter;sans-serif" w:hAnsi="Inter;sans-serif"/>
          <w:b w:val="false"/>
          <w:color w:val="000000"/>
          <w:sz w:val="20"/>
          <w:u w:val="single"/>
        </w:rPr>
      </w:pPr>
      <w:r>
        <w:rPr>
          <w:rFonts w:ascii="Inter;sans-serif" w:hAnsi="Inter;sans-serif"/>
          <w:b w:val="false"/>
          <w:color w:val="000000"/>
          <w:sz w:val="20"/>
          <w:u w:val="single"/>
        </w:rPr>
        <w:t>Recurring revenues</w:t>
      </w:r>
    </w:p>
    <w:p>
      <w:pPr>
        <w:pStyle w:val="TextBody"/>
        <w:bidi w:val="0"/>
        <w:spacing w:lineRule="auto" w:line="288" w:before="0" w:after="200"/>
        <w:jc w:val="left"/>
        <w:rPr/>
      </w:pPr>
      <w:r>
        <w:rPr>
          <w:rFonts w:ascii="Inter;sans-serif" w:hAnsi="Inter;sans-serif"/>
          <w:b w:val="false"/>
          <w:i/>
          <w:color w:val="000000"/>
          <w:sz w:val="20"/>
        </w:rPr>
        <w:t>Recurring revenues</w:t>
      </w:r>
      <w:r>
        <w:rPr>
          <w:color w:val="000000"/>
        </w:rPr>
        <w:t xml:space="preserve"> </w:t>
      </w:r>
      <w:r>
        <w:rPr>
          <w:rFonts w:ascii="Inter;sans-serif" w:hAnsi="Inter;sans-serif"/>
          <w:b w:val="false"/>
          <w:color w:val="000000"/>
          <w:sz w:val="20"/>
        </w:rPr>
        <w:t>are the basis for our other revenue-related key business metrics. We believe this measure is useful in evaluating our ability to consistently retain and grow our revenues from accounts with revenues in the prior period (“existing accounts”).</w:t>
      </w:r>
    </w:p>
    <w:p>
      <w:pPr>
        <w:pStyle w:val="TextBody"/>
        <w:bidi w:val="0"/>
        <w:spacing w:lineRule="auto" w:line="288" w:before="0" w:after="0"/>
        <w:jc w:val="left"/>
        <w:rPr/>
      </w:pPr>
      <w:r>
        <w:rPr>
          <w:rFonts w:ascii="Inter;sans-serif" w:hAnsi="Inter;sans-serif"/>
          <w:b w:val="false"/>
          <w:i/>
          <w:color w:val="000000"/>
          <w:sz w:val="20"/>
        </w:rPr>
        <w:t>Recurring revenues</w:t>
      </w:r>
      <w:r>
        <w:rPr>
          <w:color w:val="000000"/>
        </w:rPr>
        <w:t xml:space="preserve"> </w:t>
      </w:r>
      <w:r>
        <w:rPr>
          <w:rFonts w:ascii="Inter;sans-serif" w:hAnsi="Inter;sans-serif"/>
          <w:b w:val="false"/>
          <w:color w:val="000000"/>
          <w:sz w:val="20"/>
        </w:rPr>
        <w:t>are subscriptions revenues that recur monthly, quarterly, or annually with specific or automatic renewal clauses and professional services revenues in which the underlying contract is based on a fixed fee and contains automatic annual renewal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Inter;sans-serif" w:hAnsi="Inter;sans-serif"/>
          <w:b w:val="false"/>
          <w:color w:val="000000"/>
          <w:sz w:val="20"/>
          <w:u w:val="single"/>
        </w:rPr>
      </w:pPr>
      <w:r>
        <w:rPr>
          <w:rFonts w:ascii="Inter;sans-serif" w:hAnsi="Inter;sans-serif"/>
          <w:b w:val="false"/>
          <w:color w:val="000000"/>
          <w:sz w:val="20"/>
          <w:u w:val="single"/>
        </w:rPr>
        <w:t>Annualized recurring revenues (“ARR”)</w:t>
      </w:r>
    </w:p>
    <w:p>
      <w:pPr>
        <w:pStyle w:val="TextBody"/>
        <w:bidi w:val="0"/>
        <w:spacing w:lineRule="auto" w:line="288" w:before="0" w:after="200"/>
        <w:jc w:val="left"/>
        <w:rPr/>
      </w:pPr>
      <w:r>
        <w:rPr>
          <w:rFonts w:ascii="Inter;sans-serif" w:hAnsi="Inter;sans-serif"/>
          <w:b w:val="false"/>
          <w:i/>
          <w:color w:val="000000"/>
          <w:sz w:val="20"/>
        </w:rPr>
        <w:t>ARR</w:t>
      </w:r>
      <w:r>
        <w:rPr>
          <w:color w:val="000000"/>
        </w:rPr>
        <w:t xml:space="preserve"> </w:t>
      </w:r>
      <w:r>
        <w:rPr>
          <w:rFonts w:ascii="Inter;sans-serif" w:hAnsi="Inter;sans-serif"/>
          <w:b w:val="false"/>
          <w:color w:val="000000"/>
          <w:sz w:val="20"/>
        </w:rPr>
        <w:t xml:space="preserve">is a key business metric that we believe is useful in evaluating the scale and growth of our business as well as to assist in the evaluation of underlying trends in our business. Furthermore, we believe </w:t>
      </w:r>
      <w:r>
        <w:rPr>
          <w:rFonts w:ascii="Inter;sans-serif" w:hAnsi="Inter;sans-serif"/>
          <w:b w:val="false"/>
          <w:i/>
          <w:color w:val="000000"/>
          <w:sz w:val="20"/>
        </w:rPr>
        <w:t>ARR</w:t>
      </w:r>
      <w:r>
        <w:rPr>
          <w:rFonts w:ascii="Inter;sans-serif" w:hAnsi="Inter;sans-serif"/>
          <w:b w:val="false"/>
          <w:color w:val="000000"/>
          <w:sz w:val="20"/>
        </w:rPr>
        <w:t xml:space="preserve">, considered in connection with our </w:t>
      </w:r>
      <w:r>
        <w:rPr>
          <w:rFonts w:ascii="Inter;sans-serif" w:hAnsi="Inter;sans-serif"/>
          <w:b w:val="false"/>
          <w:i/>
          <w:color w:val="000000"/>
          <w:sz w:val="20"/>
        </w:rPr>
        <w:t>last twelve</w:t>
      </w:r>
      <w:r>
        <w:rPr>
          <w:color w:val="000000"/>
        </w:rPr>
        <w:noBreakHyphen/>
      </w:r>
      <w:r>
        <w:rPr>
          <w:rFonts w:ascii="Inter;sans-serif" w:hAnsi="Inter;sans-serif"/>
          <w:b w:val="false"/>
          <w:i/>
          <w:color w:val="000000"/>
          <w:sz w:val="20"/>
        </w:rPr>
        <w:t>month recurring revenues dollar</w:t>
      </w:r>
      <w:r>
        <w:rPr>
          <w:color w:val="000000"/>
        </w:rPr>
        <w:noBreakHyphen/>
      </w:r>
      <w:r>
        <w:rPr>
          <w:rFonts w:ascii="Inter;sans-serif" w:hAnsi="Inter;sans-serif"/>
          <w:b w:val="false"/>
          <w:i/>
          <w:color w:val="000000"/>
          <w:sz w:val="20"/>
        </w:rPr>
        <w:t>based net retention rate</w:t>
      </w:r>
      <w:r>
        <w:rPr>
          <w:rFonts w:ascii="Inter;sans-serif" w:hAnsi="Inter;sans-serif"/>
          <w:b w:val="false"/>
          <w:color w:val="000000"/>
          <w:sz w:val="20"/>
        </w:rPr>
        <w:t>, is a leading indicator of revenue growth.</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Inter;sans-serif" w:hAnsi="Inter;sans-serif"/>
          <w:b w:val="false"/>
          <w:i/>
          <w:color w:val="000000"/>
          <w:sz w:val="20"/>
        </w:rPr>
        <w:t>ARR</w:t>
      </w:r>
      <w:r>
        <w:rPr>
          <w:color w:val="000000"/>
        </w:rPr>
        <w:t xml:space="preserve"> </w:t>
      </w:r>
      <w:r>
        <w:rPr>
          <w:rFonts w:ascii="Inter;sans-serif" w:hAnsi="Inter;sans-serif"/>
          <w:b w:val="false"/>
          <w:color w:val="000000"/>
          <w:sz w:val="20"/>
        </w:rPr>
        <w:t>is defined as the sum of the annualized value of our portfolio of contracts that produce recurring revenues as of the last day of the reporting period, and the annualized value of the last three months of recognized revenues for our contractually recurring consumption</w:t>
        <w:noBreakHyphen/>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pStyle w:val="TextBody"/>
        <w:bidi w:val="0"/>
        <w:spacing w:lineRule="auto" w:line="288" w:before="200" w:after="200"/>
        <w:jc w:val="left"/>
        <w:rPr/>
      </w:pPr>
      <w:r>
        <w:rPr>
          <w:rFonts w:ascii="Inter;sans-serif" w:hAnsi="Inter;sans-serif"/>
          <w:b w:val="false"/>
          <w:i/>
          <w:color w:val="000000"/>
          <w:sz w:val="20"/>
        </w:rPr>
        <w:t>Constant currency ARR growth rate</w:t>
      </w:r>
      <w:r>
        <w:rPr>
          <w:color w:val="000000"/>
        </w:rPr>
        <w:t xml:space="preserve"> </w:t>
      </w:r>
      <w:r>
        <w:rPr>
          <w:rFonts w:ascii="Inter;sans-serif" w:hAnsi="Inter;sans-serif"/>
          <w:b w:val="false"/>
          <w:color w:val="000000"/>
          <w:sz w:val="20"/>
        </w:rPr>
        <w:t xml:space="preserve">is the growth rate of </w:t>
      </w:r>
      <w:r>
        <w:rPr>
          <w:rFonts w:ascii="Inter;sans-serif" w:hAnsi="Inter;sans-serif"/>
          <w:b w:val="false"/>
          <w:i/>
          <w:color w:val="000000"/>
          <w:sz w:val="20"/>
        </w:rPr>
        <w:t>ARR</w:t>
      </w:r>
      <w:r>
        <w:rPr>
          <w:color w:val="000000"/>
        </w:rPr>
        <w:t xml:space="preserve"> </w:t>
      </w:r>
      <w:r>
        <w:rPr>
          <w:rFonts w:ascii="Inter;sans-serif" w:hAnsi="Inter;sans-serif"/>
          <w:b w:val="false"/>
          <w:color w:val="000000"/>
          <w:sz w:val="20"/>
        </w:rPr>
        <w:t>measured on a constant currency basis. In reporting period</w:t>
        <w:noBreakHyphen/>
        <w:t>over</w:t>
        <w:noBreakHyphen/>
        <w:t xml:space="preserve">period ARR growth rates in constant currency, we calculate constant currency growth rates by translating current and prior period ARR on a transactional basis to our reporting currency using current year budget exchange rates. </w:t>
      </w:r>
      <w:r>
        <w:rPr>
          <w:rFonts w:ascii="Inter;sans-serif" w:hAnsi="Inter;sans-serif"/>
          <w:b w:val="false"/>
          <w:i/>
          <w:color w:val="000000"/>
          <w:sz w:val="20"/>
        </w:rPr>
        <w:t>Constant currency ARR growth rate from business performance</w:t>
      </w:r>
      <w:r>
        <w:rPr>
          <w:color w:val="000000"/>
        </w:rPr>
        <w:t xml:space="preserve"> </w:t>
      </w:r>
      <w:r>
        <w:rPr>
          <w:rFonts w:ascii="Inter;sans-serif" w:hAnsi="Inter;sans-serif"/>
          <w:b w:val="false"/>
          <w:color w:val="000000"/>
          <w:sz w:val="20"/>
        </w:rPr>
        <w:t xml:space="preserve">excludes the </w:t>
      </w:r>
      <w:r>
        <w:rPr>
          <w:rFonts w:ascii="Inter;sans-serif" w:hAnsi="Inter;sans-serif"/>
          <w:b w:val="false"/>
          <w:i/>
          <w:color w:val="000000"/>
          <w:sz w:val="20"/>
        </w:rPr>
        <w:t>ARR</w:t>
      </w:r>
      <w:r>
        <w:rPr>
          <w:color w:val="000000"/>
        </w:rPr>
        <w:t xml:space="preserve"> </w:t>
      </w:r>
      <w:r>
        <w:rPr>
          <w:rFonts w:ascii="Inter;sans-serif" w:hAnsi="Inter;sans-serif"/>
          <w:b w:val="false"/>
          <w:color w:val="000000"/>
          <w:sz w:val="20"/>
        </w:rPr>
        <w:t xml:space="preserve">onboarding of our </w:t>
      </w:r>
      <w:r>
        <w:rPr>
          <w:rFonts w:ascii="Inter;sans-serif" w:hAnsi="Inter;sans-serif"/>
          <w:b w:val="false"/>
          <w:i/>
          <w:color w:val="000000"/>
          <w:sz w:val="20"/>
        </w:rPr>
        <w:t>platform acquisitions</w:t>
      </w:r>
      <w:r>
        <w:rPr>
          <w:color w:val="000000"/>
        </w:rPr>
        <w:t xml:space="preserve"> </w:t>
      </w:r>
      <w:r>
        <w:rPr>
          <w:rFonts w:ascii="Inter;sans-serif" w:hAnsi="Inter;sans-serif"/>
          <w:b w:val="false"/>
          <w:color w:val="000000"/>
          <w:sz w:val="20"/>
        </w:rPr>
        <w:t xml:space="preserve">and includes the impact from the </w:t>
      </w:r>
      <w:r>
        <w:rPr>
          <w:rFonts w:ascii="Inter;sans-serif" w:hAnsi="Inter;sans-serif"/>
          <w:b w:val="false"/>
          <w:i/>
          <w:color w:val="000000"/>
          <w:sz w:val="20"/>
        </w:rPr>
        <w:t>ARR</w:t>
      </w:r>
      <w:r>
        <w:rPr>
          <w:color w:val="000000"/>
        </w:rPr>
        <w:t xml:space="preserve"> </w:t>
      </w:r>
      <w:r>
        <w:rPr>
          <w:rFonts w:ascii="Inter;sans-serif" w:hAnsi="Inter;sans-serif"/>
          <w:b w:val="false"/>
          <w:color w:val="000000"/>
          <w:sz w:val="20"/>
        </w:rPr>
        <w:t xml:space="preserve">onboarding of </w:t>
      </w:r>
      <w:r>
        <w:rPr>
          <w:rFonts w:ascii="Inter;sans-serif" w:hAnsi="Inter;sans-serif"/>
          <w:b w:val="false"/>
          <w:i/>
          <w:color w:val="000000"/>
          <w:sz w:val="20"/>
        </w:rPr>
        <w:t>programmatic acquisitions</w:t>
      </w:r>
      <w:r>
        <w:rPr>
          <w:rFonts w:ascii="Inter;sans-serif" w:hAnsi="Inter;sans-serif"/>
          <w:b w:val="false"/>
          <w:color w:val="000000"/>
          <w:sz w:val="20"/>
        </w:rPr>
        <w:t>, which generally are immaterial, individually and in the aggregate. We believe these ARR growth rates are important metrics indicating the scale and growth of our business.</w:t>
      </w:r>
    </w:p>
    <w:p>
      <w:pPr>
        <w:pStyle w:val="TextBody"/>
        <w:bidi w:val="0"/>
        <w:spacing w:lineRule="auto" w:line="288" w:before="0" w:after="200"/>
        <w:jc w:val="left"/>
        <w:rPr>
          <w:rFonts w:ascii="Inter;sans-serif" w:hAnsi="Inter;sans-serif"/>
          <w:b w:val="false"/>
          <w:color w:val="000000"/>
          <w:sz w:val="20"/>
          <w:u w:val="single"/>
        </w:rPr>
      </w:pPr>
      <w:r>
        <w:rPr>
          <w:rFonts w:ascii="Inter;sans-serif" w:hAnsi="Inter;sans-serif"/>
          <w:b w:val="false"/>
          <w:color w:val="000000"/>
          <w:sz w:val="20"/>
          <w:u w:val="single"/>
        </w:rPr>
        <w:t>Last twelve</w:t>
        <w:noBreakHyphen/>
        <w:t>month recurring revenues dollar</w:t>
        <w:noBreakHyphen/>
        <w:t>based net retention rate</w:t>
      </w:r>
    </w:p>
    <w:p>
      <w:pPr>
        <w:pStyle w:val="TextBody"/>
        <w:bidi w:val="0"/>
        <w:spacing w:lineRule="auto" w:line="288" w:before="0" w:after="200"/>
        <w:jc w:val="left"/>
        <w:rPr/>
      </w:pPr>
      <w:r>
        <w:rPr>
          <w:rFonts w:ascii="Inter;sans-serif" w:hAnsi="Inter;sans-serif"/>
          <w:b w:val="false"/>
          <w:i/>
          <w:color w:val="000000"/>
          <w:sz w:val="20"/>
        </w:rPr>
        <w:t>Last twelve</w:t>
      </w:r>
      <w:r>
        <w:rPr>
          <w:color w:val="000000"/>
        </w:rPr>
        <w:noBreakHyphen/>
      </w:r>
      <w:r>
        <w:rPr>
          <w:rFonts w:ascii="Inter;sans-serif" w:hAnsi="Inter;sans-serif"/>
          <w:b w:val="false"/>
          <w:i/>
          <w:color w:val="000000"/>
          <w:sz w:val="20"/>
        </w:rPr>
        <w:t>month recurring revenues dollar</w:t>
      </w:r>
      <w:r>
        <w:rPr>
          <w:color w:val="000000"/>
        </w:rPr>
        <w:noBreakHyphen/>
      </w:r>
      <w:r>
        <w:rPr>
          <w:rFonts w:ascii="Inter;sans-serif" w:hAnsi="Inter;sans-serif"/>
          <w:b w:val="false"/>
          <w:i/>
          <w:color w:val="000000"/>
          <w:sz w:val="20"/>
        </w:rPr>
        <w:t>based net retention rate</w:t>
      </w:r>
      <w:r>
        <w:rPr>
          <w:color w:val="000000"/>
        </w:rPr>
        <w:t xml:space="preserve"> </w:t>
      </w:r>
      <w:r>
        <w:rPr>
          <w:rFonts w:ascii="Inter;sans-serif" w:hAnsi="Inter;sans-serif"/>
          <w:b w:val="false"/>
          <w:color w:val="000000"/>
          <w:sz w:val="20"/>
        </w:rPr>
        <w:t>is a key business metric that we believe is useful in evaluating our ability to consistently retain and grow our recurring revenues.</w:t>
      </w:r>
    </w:p>
    <w:p>
      <w:pPr>
        <w:pStyle w:val="TextBody"/>
        <w:bidi w:val="0"/>
        <w:spacing w:lineRule="auto" w:line="288" w:before="0" w:after="200"/>
        <w:jc w:val="left"/>
        <w:rPr/>
      </w:pPr>
      <w:r>
        <w:rPr>
          <w:rFonts w:ascii="Inter;sans-serif" w:hAnsi="Inter;sans-serif"/>
          <w:b w:val="false"/>
          <w:i/>
          <w:color w:val="000000"/>
          <w:sz w:val="20"/>
        </w:rPr>
        <w:t>Last twelve</w:t>
      </w:r>
      <w:r>
        <w:rPr>
          <w:color w:val="000000"/>
        </w:rPr>
        <w:noBreakHyphen/>
      </w:r>
      <w:r>
        <w:rPr>
          <w:rFonts w:ascii="Inter;sans-serif" w:hAnsi="Inter;sans-serif"/>
          <w:b w:val="false"/>
          <w:i/>
          <w:color w:val="000000"/>
          <w:sz w:val="20"/>
        </w:rPr>
        <w:t>month recurring revenues dollar</w:t>
      </w:r>
      <w:r>
        <w:rPr>
          <w:color w:val="000000"/>
        </w:rPr>
        <w:noBreakHyphen/>
      </w:r>
      <w:r>
        <w:rPr>
          <w:rFonts w:ascii="Inter;sans-serif" w:hAnsi="Inter;sans-serif"/>
          <w:b w:val="false"/>
          <w:i/>
          <w:color w:val="000000"/>
          <w:sz w:val="20"/>
        </w:rPr>
        <w:t>based net retention rate</w:t>
      </w:r>
      <w:r>
        <w:rPr>
          <w:color w:val="000000"/>
        </w:rPr>
        <w:t xml:space="preserve"> </w:t>
      </w:r>
      <w:r>
        <w:rPr>
          <w:rFonts w:ascii="Inter;sans-serif" w:hAnsi="Inter;sans-serif"/>
          <w:b w:val="false"/>
          <w:color w:val="000000"/>
          <w:sz w:val="20"/>
        </w:rPr>
        <w:t xml:space="preserve">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w:t>
      </w:r>
      <w:r>
        <w:rPr>
          <w:rFonts w:ascii="Inter;sans-serif" w:hAnsi="Inter;sans-serif"/>
          <w:b w:val="false"/>
          <w:i/>
          <w:color w:val="000000"/>
          <w:sz w:val="20"/>
        </w:rPr>
        <w:t>platform acquisitions</w:t>
      </w:r>
      <w:r>
        <w:rPr>
          <w:rFonts w:ascii="Inter;sans-serif" w:hAnsi="Inter;sans-serif"/>
          <w:b w:val="false"/>
          <w:color w:val="000000"/>
          <w:sz w:val="20"/>
        </w:rPr>
        <w:t>, recurring revenues into new accounts will be captured as existing accounts starting with the second anniversary of the acquisition when such data conforms to the calculation methodology. This may cause variability in the comparison.</w:t>
      </w:r>
    </w:p>
    <w:p>
      <w:pPr>
        <w:pStyle w:val="TextBody"/>
        <w:bidi w:val="0"/>
        <w:spacing w:lineRule="auto" w:line="288" w:before="0" w:after="200"/>
        <w:jc w:val="left"/>
        <w:rPr>
          <w:rFonts w:ascii="Inter;sans-serif" w:hAnsi="Inter;sans-serif"/>
          <w:b w:val="false"/>
          <w:color w:val="000000"/>
          <w:sz w:val="20"/>
          <w:u w:val="single"/>
        </w:rPr>
      </w:pPr>
      <w:r>
        <w:rPr>
          <w:rFonts w:ascii="Inter;sans-serif" w:hAnsi="Inter;sans-serif"/>
          <w:b w:val="false"/>
          <w:color w:val="000000"/>
          <w:sz w:val="20"/>
          <w:u w:val="single"/>
        </w:rPr>
        <w:t>Adjusted operating income less operating stock-based compensation expense (“AOI less Operating SBC”)</w:t>
      </w:r>
    </w:p>
    <w:p>
      <w:pPr>
        <w:pStyle w:val="TextBody"/>
        <w:bidi w:val="0"/>
        <w:spacing w:lineRule="auto" w:line="288" w:before="0" w:after="200"/>
        <w:jc w:val="left"/>
        <w:rPr/>
      </w:pPr>
      <w:r>
        <w:rPr>
          <w:rFonts w:ascii="Inter;sans-serif" w:hAnsi="Inter;sans-serif"/>
          <w:b w:val="false"/>
          <w:i/>
          <w:color w:val="000000"/>
          <w:sz w:val="20"/>
        </w:rPr>
        <w:t>AOI less Operating SBC</w:t>
      </w:r>
      <w:r>
        <w:rPr>
          <w:color w:val="000000"/>
        </w:rPr>
        <w:t xml:space="preserve"> </w:t>
      </w:r>
      <w:r>
        <w:rPr>
          <w:rFonts w:ascii="Inter;sans-serif" w:hAnsi="Inter;sans-serif"/>
          <w:b w:val="false"/>
          <w:color w:val="000000"/>
          <w:sz w:val="20"/>
        </w:rPr>
        <w:t>is a non-GAAP financial measure and is used to measure the operational strength and performance of our business, as well as to assist in the evaluation of underlying trends in our business.</w:t>
      </w:r>
    </w:p>
    <w:p>
      <w:pPr>
        <w:pStyle w:val="TextBody"/>
        <w:bidi w:val="0"/>
        <w:spacing w:lineRule="auto" w:line="288" w:before="0" w:after="200"/>
        <w:jc w:val="left"/>
        <w:rPr/>
      </w:pPr>
      <w:r>
        <w:rPr>
          <w:rFonts w:ascii="Inter;sans-serif" w:hAnsi="Inter;sans-serif"/>
          <w:b w:val="false"/>
          <w:i/>
          <w:color w:val="000000"/>
          <w:sz w:val="20"/>
        </w:rPr>
        <w:t>AOI less Operating SBC</w:t>
      </w:r>
      <w:r>
        <w:rPr>
          <w:color w:val="000000"/>
        </w:rPr>
        <w:t xml:space="preserve"> </w:t>
      </w:r>
      <w:r>
        <w:rPr>
          <w:rFonts w:ascii="Inter;sans-serif" w:hAnsi="Inter;sans-serif"/>
          <w:b w:val="false"/>
          <w:color w:val="000000"/>
          <w:sz w:val="20"/>
        </w:rPr>
        <w:t>is defined as operating income adjusted for the following: amortization of purchased intangibles, expense (income) relating to deferred compensation plan liabilities, acquisition expenses (inclusive of cash- and equity-settled retention incentives provided to key employees of acquired companies), integration costs, and realignment expenses (income), for the respective periods.</w:t>
      </w:r>
    </w:p>
    <w:p>
      <w:pPr>
        <w:pStyle w:val="TextBody"/>
        <w:bidi w:val="0"/>
        <w:spacing w:lineRule="auto" w:line="288" w:before="0" w:after="200"/>
        <w:jc w:val="left"/>
        <w:rPr/>
      </w:pPr>
      <w:r>
        <w:rPr>
          <w:rFonts w:ascii="Inter;sans-serif" w:hAnsi="Inter;sans-serif"/>
          <w:b w:val="false"/>
          <w:i/>
          <w:color w:val="000000"/>
          <w:sz w:val="20"/>
        </w:rPr>
        <w:t>AOI less Operating SBC</w:t>
      </w:r>
      <w:r>
        <w:rPr>
          <w:color w:val="000000"/>
        </w:rPr>
        <w:t xml:space="preserve"> </w:t>
      </w:r>
      <w:r>
        <w:rPr>
          <w:rFonts w:ascii="Inter;sans-serif" w:hAnsi="Inter;sans-serif"/>
          <w:b w:val="false"/>
          <w:color w:val="000000"/>
          <w:sz w:val="20"/>
        </w:rPr>
        <w:t>is our primary performance measure, which excludes certain expenses and charges, including cash- and equity-settled retention incentives provided to key employees of acquired companies, as we believe these may not be indicative of the Company’s core business operating results. We intentionally include operating stock-based compensation expense (non</w:t>
        <w:noBreakHyphen/>
        <w:t>cash stock</w:t>
        <w:noBreakHyphen/>
        <w:t>based compensation expense less equity</w:t>
        <w:noBreakHyphen/>
        <w:t>settled retention incentives provided to key employees of acquired companies) in this measure as we believe it better captures the economic costs of our business.</w:t>
      </w:r>
    </w:p>
    <w:p>
      <w:pPr>
        <w:pStyle w:val="TextBody"/>
        <w:bidi w:val="0"/>
        <w:spacing w:lineRule="auto" w:line="288" w:before="0" w:after="200"/>
        <w:jc w:val="left"/>
        <w:rPr>
          <w:rFonts w:ascii="Inter;sans-serif" w:hAnsi="Inter;sans-serif"/>
          <w:b w:val="false"/>
          <w:color w:val="000000"/>
          <w:sz w:val="20"/>
        </w:rPr>
      </w:pPr>
      <w:r>
        <w:rPr>
          <w:rFonts w:ascii="Inter;sans-serif" w:hAnsi="Inter;sans-serif"/>
          <w:b w:val="false"/>
          <w:color w:val="000000"/>
          <w:sz w:val="20"/>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pPr>
      <w:r>
        <w:rPr>
          <w:rFonts w:ascii="Inter;sans-serif" w:hAnsi="Inter;sans-serif"/>
          <w:b w:val="false"/>
          <w:i/>
          <w:color w:val="000000"/>
          <w:sz w:val="20"/>
        </w:rPr>
        <w:t>AOI less Operating SBC margin</w:t>
      </w:r>
      <w:r>
        <w:rPr>
          <w:color w:val="000000"/>
        </w:rPr>
        <w:t xml:space="preserve"> </w:t>
      </w:r>
      <w:r>
        <w:rPr>
          <w:rFonts w:ascii="Inter;sans-serif" w:hAnsi="Inter;sans-serif"/>
          <w:b w:val="false"/>
          <w:color w:val="000000"/>
          <w:sz w:val="20"/>
        </w:rPr>
        <w:t xml:space="preserve">is calculated by dividing </w:t>
      </w:r>
      <w:r>
        <w:rPr>
          <w:rFonts w:ascii="Inter;sans-serif" w:hAnsi="Inter;sans-serif"/>
          <w:b w:val="false"/>
          <w:i/>
          <w:color w:val="000000"/>
          <w:sz w:val="20"/>
        </w:rPr>
        <w:t>AOI less Operating SBC</w:t>
      </w:r>
      <w:r>
        <w:rPr>
          <w:color w:val="000000"/>
        </w:rPr>
        <w:t xml:space="preserve"> </w:t>
      </w:r>
      <w:r>
        <w:rPr>
          <w:rFonts w:ascii="Inter;sans-serif" w:hAnsi="Inter;sans-serif"/>
          <w:b w:val="false"/>
          <w:color w:val="000000"/>
          <w:sz w:val="20"/>
        </w:rPr>
        <w:t>by total revenues.</w:t>
      </w:r>
    </w:p>
    <w:p>
      <w:pPr>
        <w:pStyle w:val="TextBody"/>
        <w:bidi w:val="0"/>
        <w:spacing w:lineRule="auto" w:line="288" w:before="0" w:after="200"/>
        <w:jc w:val="left"/>
        <w:rPr>
          <w:rFonts w:ascii="Inter;sans-serif" w:hAnsi="Inter;sans-serif"/>
          <w:b w:val="false"/>
          <w:color w:val="000000"/>
          <w:sz w:val="20"/>
          <w:u w:val="single"/>
        </w:rPr>
      </w:pPr>
      <w:r>
        <w:rPr>
          <w:rFonts w:ascii="Inter;sans-serif" w:hAnsi="Inter;sans-serif"/>
          <w:b w:val="false"/>
          <w:color w:val="000000"/>
          <w:sz w:val="20"/>
          <w:u w:val="single"/>
        </w:rPr>
        <w:t>Adjusted operating income (“AOI”)</w:t>
      </w:r>
    </w:p>
    <w:p>
      <w:pPr>
        <w:pStyle w:val="TextBody"/>
        <w:bidi w:val="0"/>
        <w:spacing w:lineRule="auto" w:line="288" w:before="0" w:after="200"/>
        <w:jc w:val="left"/>
        <w:rPr/>
      </w:pPr>
      <w:r>
        <w:rPr>
          <w:rFonts w:ascii="Inter;sans-serif" w:hAnsi="Inter;sans-serif"/>
          <w:b w:val="false"/>
          <w:i/>
          <w:color w:val="000000"/>
          <w:sz w:val="20"/>
        </w:rPr>
        <w:t>Adjusted operating income</w:t>
      </w:r>
      <w:r>
        <w:rPr>
          <w:color w:val="000000"/>
        </w:rPr>
        <w:t xml:space="preserve"> </w:t>
      </w:r>
      <w:r>
        <w:rPr>
          <w:rFonts w:ascii="Inter;sans-serif" w:hAnsi="Inter;sans-serif"/>
          <w:b w:val="false"/>
          <w:color w:val="000000"/>
          <w:sz w:val="20"/>
        </w:rPr>
        <w:t>is a non-GAAP financial measure that we believe is useful to investors in making comparisons to other companies, although this measure may not be directly comparable to similar measures used by other companies.</w:t>
      </w:r>
    </w:p>
    <w:p>
      <w:pPr>
        <w:pStyle w:val="TextBody"/>
        <w:bidi w:val="0"/>
        <w:spacing w:lineRule="auto" w:line="288" w:before="0" w:after="200"/>
        <w:jc w:val="left"/>
        <w:rPr>
          <w:rFonts w:ascii="Inter;sans-serif" w:hAnsi="Inter;sans-serif"/>
          <w:b w:val="false"/>
          <w:color w:val="000000"/>
          <w:sz w:val="20"/>
        </w:rPr>
      </w:pPr>
      <w:r>
        <w:rPr>
          <w:rFonts w:ascii="Inter;sans-serif" w:hAnsi="Inter;sans-serif"/>
          <w:b w:val="false"/>
          <w:color w:val="000000"/>
          <w:sz w:val="20"/>
        </w:rPr>
        <w:t>Adjusted operating income is defined as operating income adjusted for the following: amortization of purchased intangibles, expense (income) relating to deferred compensation plan liabilities, acquisition expenses (inclusive of cash- and equity-settled retention incentives provided to key employees of acquired companies), integration costs, realignment expenses (income), and operating stock</w:t>
        <w:noBreakHyphen/>
        <w:t>based compensation expense (non</w:t>
        <w:noBreakHyphen/>
        <w:t>cash stock</w:t>
        <w:noBreakHyphen/>
        <w:t>based compensation expense less equity</w:t>
        <w:noBreakHyphen/>
        <w:t>settled retention incentives provided to key employees of acquired companies), for the respective periods.</w:t>
      </w:r>
    </w:p>
    <w:p>
      <w:pPr>
        <w:pStyle w:val="TextBody"/>
        <w:bidi w:val="0"/>
        <w:spacing w:lineRule="auto" w:line="288" w:before="0" w:after="200"/>
        <w:jc w:val="left"/>
        <w:rPr>
          <w:rFonts w:ascii="Inter;sans-serif" w:hAnsi="Inter;sans-serif"/>
          <w:b w:val="false"/>
          <w:color w:val="000000"/>
          <w:sz w:val="20"/>
          <w:u w:val="single"/>
        </w:rPr>
      </w:pPr>
      <w:r>
        <w:rPr>
          <w:rFonts w:ascii="Inter;sans-serif" w:hAnsi="Inter;sans-serif"/>
          <w:b w:val="false"/>
          <w:color w:val="000000"/>
          <w:sz w:val="20"/>
          <w:u w:val="single"/>
        </w:rPr>
        <w:t>Adjusted net income and Adjusted EPS</w:t>
      </w:r>
    </w:p>
    <w:p>
      <w:pPr>
        <w:pStyle w:val="TextBody"/>
        <w:bidi w:val="0"/>
        <w:spacing w:lineRule="auto" w:line="288" w:before="0" w:after="200"/>
        <w:jc w:val="left"/>
        <w:rPr/>
      </w:pPr>
      <w:r>
        <w:rPr>
          <w:rFonts w:ascii="Inter;sans-serif" w:hAnsi="Inter;sans-serif"/>
          <w:b w:val="false"/>
          <w:i/>
          <w:color w:val="000000"/>
          <w:sz w:val="20"/>
        </w:rPr>
        <w:t>Adjusted net income</w:t>
      </w:r>
      <w:r>
        <w:rPr>
          <w:color w:val="000000"/>
        </w:rPr>
        <w:t xml:space="preserve"> </w:t>
      </w:r>
      <w:r>
        <w:rPr>
          <w:rFonts w:ascii="Inter;sans-serif" w:hAnsi="Inter;sans-serif"/>
          <w:b w:val="false"/>
          <w:color w:val="000000"/>
          <w:sz w:val="20"/>
        </w:rPr>
        <w:t xml:space="preserve">and </w:t>
      </w:r>
      <w:r>
        <w:rPr>
          <w:rFonts w:ascii="Inter;sans-serif" w:hAnsi="Inter;sans-serif"/>
          <w:b w:val="false"/>
          <w:i/>
          <w:color w:val="000000"/>
          <w:sz w:val="20"/>
        </w:rPr>
        <w:t>Adjusted EPS</w:t>
      </w:r>
      <w:r>
        <w:rPr>
          <w:color w:val="000000"/>
        </w:rPr>
        <w:t xml:space="preserve"> </w:t>
      </w:r>
      <w:r>
        <w:rPr>
          <w:rFonts w:ascii="Inter;sans-serif" w:hAnsi="Inter;sans-serif"/>
          <w:b w:val="false"/>
          <w:color w:val="000000"/>
          <w:sz w:val="20"/>
        </w:rPr>
        <w:t>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w:t>
      </w:r>
    </w:p>
    <w:p>
      <w:pPr>
        <w:pStyle w:val="TextBody"/>
        <w:bidi w:val="0"/>
        <w:spacing w:lineRule="auto" w:line="288" w:before="0" w:after="200"/>
        <w:jc w:val="left"/>
        <w:rPr/>
      </w:pPr>
      <w:r>
        <w:rPr>
          <w:rFonts w:ascii="Inter;sans-serif" w:hAnsi="Inter;sans-serif"/>
          <w:b w:val="false"/>
          <w:i/>
          <w:color w:val="000000"/>
          <w:sz w:val="20"/>
        </w:rPr>
        <w:t>Adjusted net income</w:t>
      </w:r>
      <w:r>
        <w:rPr>
          <w:color w:val="000000"/>
        </w:rPr>
        <w:t xml:space="preserve"> </w:t>
      </w:r>
      <w:r>
        <w:rPr>
          <w:rFonts w:ascii="Inter;sans-serif" w:hAnsi="Inter;sans-serif"/>
          <w:b w:val="false"/>
          <w:color w:val="000000"/>
          <w:sz w:val="20"/>
        </w:rPr>
        <w:t>is defined as net income attributable to Bentley Systems adjusted for the following: amortization of purchased intangibles, operating stock</w:t>
        <w:noBreakHyphen/>
        <w:t>based compensation expense (non</w:t>
        <w:noBreakHyphen/>
        <w:t>cash stock</w:t>
        <w:noBreakHyphen/>
        <w:t>based compensation expense less equity</w:t>
        <w:noBreakHyphen/>
        <w:t>settled retention incentives provided to key employees of acquired companies), expense (income) relating to deferred compensation plan liabilities, acquisition expenses (inclusive of cash- and equity-settled retention incentives provided to key employees of acquired companies), integration costs, realignment expenses (income), other non</w:t>
        <w:noBreakHyphen/>
        <w:t>operating (income) expense, net, the tax effect of the above adjustments to net income, and equity in net (income) losses of investees, net of tax, for the respective periods. The income tax effect of non</w:t>
        <w:noBreakHyphen/>
        <w:t>GAAP adjustments was determined using the applicable rates in the taxing jurisdictions in which income or expense occurred, and represent both current and deferred income tax expense or benefit based on the nature of the non</w:t>
        <w:noBreakHyphen/>
        <w:t>GAAP adjustments, including the tax effects of non</w:t>
        <w:noBreakHyphen/>
        <w:t>cash operating stock</w:t>
        <w:noBreakHyphen/>
        <w:t>based compensation expense.</w:t>
      </w:r>
    </w:p>
    <w:p>
      <w:pPr>
        <w:pStyle w:val="TextBody"/>
        <w:bidi w:val="0"/>
        <w:spacing w:lineRule="auto" w:line="288" w:before="0" w:after="200"/>
        <w:jc w:val="left"/>
        <w:rPr/>
      </w:pPr>
      <w:r>
        <w:rPr>
          <w:rFonts w:ascii="Inter;sans-serif" w:hAnsi="Inter;sans-serif"/>
          <w:b w:val="false"/>
          <w:i/>
          <w:color w:val="000000"/>
          <w:sz w:val="20"/>
        </w:rPr>
        <w:t>Adjusted EPS</w:t>
      </w:r>
      <w:r>
        <w:rPr>
          <w:color w:val="000000"/>
        </w:rPr>
        <w:t xml:space="preserve"> </w:t>
      </w:r>
      <w:r>
        <w:rPr>
          <w:rFonts w:ascii="Inter;sans-serif" w:hAnsi="Inter;sans-serif"/>
          <w:b w:val="false"/>
          <w:color w:val="000000"/>
          <w:sz w:val="20"/>
        </w:rPr>
        <w:t xml:space="preserve">is calculated as </w:t>
      </w:r>
      <w:r>
        <w:rPr>
          <w:rFonts w:ascii="Inter;sans-serif" w:hAnsi="Inter;sans-serif"/>
          <w:b w:val="false"/>
          <w:i/>
          <w:color w:val="000000"/>
          <w:sz w:val="20"/>
        </w:rPr>
        <w:t>Adjusted net income</w:t>
      </w:r>
      <w:r>
        <w:rPr>
          <w:rFonts w:ascii="Inter;sans-serif" w:hAnsi="Inter;sans-serif"/>
          <w:b w:val="false"/>
          <w:color w:val="000000"/>
          <w:sz w:val="20"/>
        </w:rPr>
        <w:t>, less net income attributable to Bentley Systems allocated to participating securities, plus interest expense, net of tax, attributable to the convertible senior notes using the if</w:t>
        <w:noBreakHyphen/>
        <w:t xml:space="preserve">converted method, if applicable, (numerator) divided by </w:t>
      </w:r>
      <w:r>
        <w:rPr>
          <w:rFonts w:ascii="Inter;sans-serif" w:hAnsi="Inter;sans-serif"/>
          <w:b w:val="false"/>
          <w:i/>
          <w:color w:val="000000"/>
          <w:sz w:val="20"/>
        </w:rPr>
        <w:t>Adjusted diluted weighted average shares</w:t>
      </w:r>
      <w:r>
        <w:rPr>
          <w:color w:val="000000"/>
        </w:rPr>
        <w:t xml:space="preserve"> </w:t>
      </w:r>
      <w:r>
        <w:rPr>
          <w:rFonts w:ascii="Inter;sans-serif" w:hAnsi="Inter;sans-serif"/>
          <w:b w:val="false"/>
          <w:color w:val="000000"/>
          <w:sz w:val="20"/>
        </w:rPr>
        <w:t xml:space="preserve">(denominator). </w:t>
      </w:r>
      <w:r>
        <w:rPr>
          <w:rFonts w:ascii="Inter;sans-serif" w:hAnsi="Inter;sans-serif"/>
          <w:b w:val="false"/>
          <w:i/>
          <w:color w:val="000000"/>
          <w:sz w:val="20"/>
        </w:rPr>
        <w:t>Adjusted diluted weighted average shares</w:t>
      </w:r>
      <w:r>
        <w:rPr>
          <w:color w:val="000000"/>
        </w:rPr>
        <w:t xml:space="preserve"> </w:t>
      </w:r>
      <w:r>
        <w:rPr>
          <w:rFonts w:ascii="Inter;sans-serif" w:hAnsi="Inter;sans-serif"/>
          <w:b w:val="false"/>
          <w:color w:val="000000"/>
          <w:sz w:val="20"/>
        </w:rPr>
        <w:t>is calculated by adding incremental shares related to the dilutive effect of convertible senior notes using the if</w:t>
        <w:noBreakHyphen/>
        <w:t>converted method, if applicable, to diluted weighted average shares.</w:t>
      </w:r>
    </w:p>
    <w:p>
      <w:pPr>
        <w:pStyle w:val="TextBody"/>
        <w:bidi w:val="0"/>
        <w:spacing w:lineRule="auto" w:line="288" w:before="0" w:after="200"/>
        <w:jc w:val="left"/>
        <w:rPr>
          <w:rFonts w:ascii="Inter;sans-serif" w:hAnsi="Inter;sans-serif"/>
          <w:b w:val="false"/>
          <w:color w:val="000000"/>
          <w:sz w:val="20"/>
          <w:u w:val="single"/>
        </w:rPr>
      </w:pPr>
      <w:r>
        <w:rPr>
          <w:rFonts w:ascii="Inter;sans-serif" w:hAnsi="Inter;sans-serif"/>
          <w:b w:val="false"/>
          <w:color w:val="000000"/>
          <w:sz w:val="20"/>
          <w:u w:val="single"/>
        </w:rPr>
        <w:t>Free cash flow</w:t>
      </w:r>
    </w:p>
    <w:p>
      <w:pPr>
        <w:pStyle w:val="TextBody"/>
        <w:bidi w:val="0"/>
        <w:spacing w:lineRule="auto" w:line="288" w:before="0" w:after="200"/>
        <w:jc w:val="left"/>
        <w:rPr/>
      </w:pPr>
      <w:r>
        <w:rPr>
          <w:rFonts w:ascii="Inter;sans-serif" w:hAnsi="Inter;sans-serif"/>
          <w:b w:val="false"/>
          <w:i/>
          <w:color w:val="000000"/>
          <w:sz w:val="20"/>
        </w:rPr>
        <w:t>Free cash flow</w:t>
      </w:r>
      <w:r>
        <w:rPr>
          <w:color w:val="000000"/>
        </w:rPr>
        <w:t xml:space="preserve"> </w:t>
      </w:r>
      <w:r>
        <w:rPr>
          <w:rFonts w:ascii="Inter;sans-serif" w:hAnsi="Inter;sans-serif"/>
          <w:b w:val="false"/>
          <w:color w:val="000000"/>
          <w:sz w:val="20"/>
        </w:rPr>
        <w:t xml:space="preserve">is a non-GAAP financial measure and our primary liquidity measure that we believe provides a meaningful measure of liquidity and a useful basis for assessing our ability to service our debt obligations, make strategic acquisitions and investments, and return capital to investors through dividends and stock repurchases. Additionally, we believe </w:t>
      </w:r>
      <w:r>
        <w:rPr>
          <w:rFonts w:ascii="Inter;sans-serif" w:hAnsi="Inter;sans-serif"/>
          <w:b w:val="false"/>
          <w:i/>
          <w:color w:val="000000"/>
          <w:sz w:val="20"/>
        </w:rPr>
        <w:t>free cash flow</w:t>
      </w:r>
      <w:r>
        <w:rPr>
          <w:color w:val="000000"/>
        </w:rPr>
        <w:t xml:space="preserve"> </w:t>
      </w:r>
      <w:r>
        <w:rPr>
          <w:rFonts w:ascii="Inter;sans-serif" w:hAnsi="Inter;sans-serif"/>
          <w:b w:val="false"/>
          <w:color w:val="000000"/>
          <w:sz w:val="20"/>
        </w:rPr>
        <w:t xml:space="preserve">is useful to investors as a basis for comparing our results with other companies in our industries, although our measure of </w:t>
      </w:r>
      <w:r>
        <w:rPr>
          <w:rFonts w:ascii="Inter;sans-serif" w:hAnsi="Inter;sans-serif"/>
          <w:b w:val="false"/>
          <w:i/>
          <w:color w:val="000000"/>
          <w:sz w:val="20"/>
        </w:rPr>
        <w:t>free cash flow</w:t>
      </w:r>
      <w:r>
        <w:rPr>
          <w:color w:val="000000"/>
        </w:rPr>
        <w:t xml:space="preserve"> </w:t>
      </w:r>
      <w:r>
        <w:rPr>
          <w:rFonts w:ascii="Inter;sans-serif" w:hAnsi="Inter;sans-serif"/>
          <w:b w:val="false"/>
          <w:color w:val="000000"/>
          <w:sz w:val="20"/>
        </w:rPr>
        <w:t xml:space="preserve">may not be directly comparable to similar measures used by other companies. </w:t>
      </w:r>
      <w:r>
        <w:rPr>
          <w:rFonts w:ascii="Inter;sans-serif" w:hAnsi="Inter;sans-serif"/>
          <w:b w:val="false"/>
          <w:i/>
          <w:color w:val="000000"/>
          <w:sz w:val="20"/>
        </w:rPr>
        <w:t>Free cash flow</w:t>
      </w:r>
      <w:r>
        <w:rPr>
          <w:color w:val="000000"/>
        </w:rPr>
        <w:t xml:space="preserve"> </w:t>
      </w:r>
      <w:r>
        <w:rPr>
          <w:rFonts w:ascii="Inter;sans-serif" w:hAnsi="Inter;sans-serif"/>
          <w:b w:val="false"/>
          <w:color w:val="000000"/>
          <w:sz w:val="20"/>
        </w:rPr>
        <w:t>has certain limitations, including that it does not represent the residual cash flow available for discretionary expenditures since other non-discretionary payments, such as mandatory debt repayments, are not deducted from the measure.</w:t>
      </w:r>
    </w:p>
    <w:p>
      <w:pPr>
        <w:pStyle w:val="TextBody"/>
        <w:bidi w:val="0"/>
        <w:spacing w:lineRule="auto" w:line="288" w:before="0" w:after="200"/>
        <w:jc w:val="left"/>
        <w:rPr/>
      </w:pPr>
      <w:r>
        <w:rPr>
          <w:rFonts w:ascii="Inter;sans-serif" w:hAnsi="Inter;sans-serif"/>
          <w:b w:val="false"/>
          <w:i/>
          <w:color w:val="000000"/>
          <w:sz w:val="20"/>
        </w:rPr>
        <w:t>Free cash flow</w:t>
      </w:r>
      <w:r>
        <w:rPr>
          <w:color w:val="000000"/>
        </w:rPr>
        <w:t xml:space="preserve"> </w:t>
      </w:r>
      <w:r>
        <w:rPr>
          <w:rFonts w:ascii="Inter;sans-serif" w:hAnsi="Inter;sans-serif"/>
          <w:b w:val="false"/>
          <w:color w:val="000000"/>
          <w:sz w:val="20"/>
        </w:rPr>
        <w:t>is defined as cash flows from operating activities less purchases of property and equipment and investment in capitalized software.</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Inter;sans-serif" w:hAnsi="Inter;sans-serif"/>
          <w:b w:val="false"/>
          <w:color w:val="000000"/>
          <w:sz w:val="20"/>
          <w:u w:val="single"/>
        </w:rPr>
      </w:pPr>
      <w:r>
        <w:rPr>
          <w:rFonts w:ascii="Inter;sans-serif" w:hAnsi="Inter;sans-serif"/>
          <w:b w:val="false"/>
          <w:color w:val="000000"/>
          <w:sz w:val="20"/>
          <w:u w:val="single"/>
        </w:rPr>
        <w:t>Adjusted EBITDA</w:t>
      </w:r>
    </w:p>
    <w:p>
      <w:pPr>
        <w:pStyle w:val="TextBody"/>
        <w:bidi w:val="0"/>
        <w:spacing w:lineRule="auto" w:line="288" w:before="0" w:after="200"/>
        <w:jc w:val="left"/>
        <w:rPr/>
      </w:pPr>
      <w:r>
        <w:rPr>
          <w:rFonts w:ascii="Inter;sans-serif" w:hAnsi="Inter;sans-serif"/>
          <w:b w:val="false"/>
          <w:i/>
          <w:color w:val="000000"/>
          <w:sz w:val="20"/>
        </w:rPr>
        <w:t>Adjusted EBITDA</w:t>
      </w:r>
      <w:r>
        <w:rPr>
          <w:color w:val="000000"/>
        </w:rPr>
        <w:t xml:space="preserve"> </w:t>
      </w:r>
      <w:r>
        <w:rPr>
          <w:rFonts w:ascii="Inter;sans-serif" w:hAnsi="Inter;sans-serif"/>
          <w:b w:val="false"/>
          <w:color w:val="000000"/>
          <w:sz w:val="20"/>
        </w:rPr>
        <w:t>is a non-GAAP financial measure that we believe provides a meaningful measure of liquidity and a useful basis for assessing our ability to repay debt, make strategic acquisitions and investments, and return capital to investors.</w:t>
      </w:r>
    </w:p>
    <w:p>
      <w:pPr>
        <w:pStyle w:val="TextBody"/>
        <w:bidi w:val="0"/>
        <w:spacing w:lineRule="auto" w:line="288" w:before="0" w:after="200"/>
        <w:jc w:val="left"/>
        <w:rPr/>
      </w:pPr>
      <w:r>
        <w:rPr>
          <w:rFonts w:ascii="Inter;sans-serif" w:hAnsi="Inter;sans-serif"/>
          <w:b w:val="false"/>
          <w:i/>
          <w:color w:val="000000"/>
          <w:sz w:val="20"/>
        </w:rPr>
        <w:t>Adjusted EBITDA</w:t>
      </w:r>
      <w:r>
        <w:rPr>
          <w:color w:val="000000"/>
        </w:rPr>
        <w:t xml:space="preserve"> </w:t>
      </w:r>
      <w:r>
        <w:rPr>
          <w:rFonts w:ascii="Inter;sans-serif" w:hAnsi="Inter;sans-serif"/>
          <w:b w:val="false"/>
          <w:color w:val="000000"/>
          <w:sz w:val="20"/>
        </w:rPr>
        <w:t xml:space="preserve">is defined as cash flows from operating activities adjusted for the following: cash interest, cash taxes, cash deferred compensation plan distributions, cash acquisition expenses, cash integration costs, cash realignment costs, changes in operating assets and liabilities, and other cash items (such as those related to our interest rate swap). From time to time, we may exclude from </w:t>
      </w:r>
      <w:r>
        <w:rPr>
          <w:rFonts w:ascii="Inter;sans-serif" w:hAnsi="Inter;sans-serif"/>
          <w:b w:val="false"/>
          <w:i/>
          <w:color w:val="000000"/>
          <w:sz w:val="20"/>
        </w:rPr>
        <w:t>Adjusted EBITDA</w:t>
      </w:r>
      <w:r>
        <w:rPr>
          <w:color w:val="000000"/>
        </w:rPr>
        <w:t xml:space="preserve"> </w:t>
      </w:r>
      <w:r>
        <w:rPr>
          <w:rFonts w:ascii="Inter;sans-serif" w:hAnsi="Inter;sans-serif"/>
          <w:b w:val="false"/>
          <w:color w:val="000000"/>
          <w:sz w:val="20"/>
        </w:rPr>
        <w:t>the impact of certain cash receipts or payments that affect period-to-period comparability.</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nter">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5682</Words>
  <Characters>33561</Characters>
  <CharactersWithSpaces>38707</CharactersWithSpaces>
  <Paragraphs>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